
<file path=[Content_Types].xml><?xml version="1.0" encoding="utf-8"?>
<Types xmlns="http://schemas.openxmlformats.org/package/2006/content-types">
  <Default Extension="xml" ContentType="application/xml"/>
  <Default Extension="rels" ContentType="application/vnd.openxmlformats-package.relationships+xml"/>
  <Default Extension="jpeg" ContentType="image/jpg"/>
  <Default Extension="png" ContentType="image/png"/>
  <Default Extension="bmp" ContentType="image/bmp"/>
  <Default Extension="gif" ContentType="image/gif"/>
  <Default Extension="tif" ContentType="image/tif"/>
  <Default Extension="pdf" ContentType="application/pdf"/>
  <Default Extension="mov" ContentType="application/movie"/>
  <Default Extension="vml" ContentType="application/vnd.openxmlformats-officedocument.vmlDrawing"/>
  <Default Extension="xlsx" ContentType="application/vnd.openxmlformats-officedocument.spreadsheetml.sheet"/>
  <Override PartName="/docProps/core.xml" ContentType="application/vnd.openxmlformats-package.core-properties+xml"/>
  <Override PartName="/docProps/app.xml" ContentType="application/vnd.openxmlformats-officedocument.extended-properties+xml"/>
  <Override PartName="/word/document.xml" ContentType="application/vnd.openxmlformats-officedocument.wordprocessingml.document.main+xml"/>
  <Override PartName="/word/settings.xml" ContentType="application/vnd.openxmlformats-officedocument.wordprocessingml.settings+xml"/>
  <Override PartName="/word/fontTable.xml" ContentType="application/vnd.openxmlformats-officedocument.wordprocessingml.fontTable+xml"/>
  <Override PartName="/word/styles.xml" ContentType="application/vnd.openxmlformats-officedocument.wordprocessingml.styles+xml"/>
  <Override PartName="/word/media/image1.jpeg" ContentType="image/jpeg"/>
  <Override PartName="/word/media/image2.jpeg" ContentType="image/jpeg"/>
  <Override PartName="/word/media/image3.jpeg" ContentType="image/jpeg"/>
  <Override PartName="/word/media/image4.jpeg" ContentType="image/jpeg"/>
  <Override PartName="/word/media/image5.jpeg" ContentType="image/jpeg"/>
  <Override PartName="/word/media/image6.jpeg" ContentType="image/jpeg"/>
  <Override PartName="/word/media/image7.jpeg" ContentType="image/jpeg"/>
  <Override PartName="/word/media/image8.jpeg" ContentType="image/jpeg"/>
  <Override PartName="/word/media/image9.jpeg" ContentType="image/jpeg"/>
  <Override PartName="/word/media/image10.jpeg" ContentType="image/jpeg"/>
  <Override PartName="/word/media/image11.jpeg" ContentType="image/jpeg"/>
  <Override PartName="/word/header1.xml" ContentType="application/vnd.openxmlformats-officedocument.wordprocessingml.header+xml"/>
  <Override PartName="/word/footer1.xml" ContentType="application/vnd.openxmlformats-officedocument.wordprocessingml.footer+xml"/>
  <Override PartName="/word/theme/theme1.xml" ContentType="application/vnd.openxmlformats-officedocument.theme+xml"/>
</Types>
</file>

<file path=_rels/.rels><?xml version="1.0" encoding="UTF-8"?>
<Relationships xmlns="http://schemas.openxmlformats.org/package/2006/relationships"><Relationship Id="rId1" Type="http://schemas.openxmlformats.org/package/2006/relationships/metadata/core-properties" Target="docProps/core.xml"/><Relationship Id="rId2" Type="http://schemas.openxmlformats.org/officeDocument/2006/relationships/extended-properties" Target="docProps/app.xml"/><Relationship Id="rId3" Type="http://schemas.openxmlformats.org/officeDocument/2006/relationships/officeDocument" Target="word/document.xml"/></Relationships>

</file>

<file path=word/document.xml><?xml version="1.0" encoding="utf-8"?>
<w:document xmlns:r="http://schemas.openxmlformats.org/officeDocument/2006/relationships" xmlns:wp="http://schemas.openxmlformats.org/drawingml/2006/wordprocessingDrawing" xmlns:w="http://schemas.openxmlformats.org/wordprocessingml/2006/main" xmlns:w10="urn:schemas-microsoft-com:office:word" xmlns:w14="http://schemas.microsoft.com/office/word/2010/wordml" xmlns:wps="http://schemas.microsoft.com/office/word/2010/wordprocessingShape" xmlns:wpg="http://schemas.microsoft.com/office/word/2010/wordprocessingGroup" xmlns:mc="http://schemas.openxmlformats.org/markup-compatibility/2006" xmlns:v="urn:schemas-microsoft-com:vml" xmlns:o="urn:schemas-microsoft-com:office:office" xmlns:m="http://schemas.openxmlformats.org/officeDocument/2006/math" mc:Ignorable="w14">
  <w:body>
    <w:p>
      <w:pPr>
        <w:pStyle w:val="Text"/>
        <w:spacing w:line="360" w:lineRule="auto"/>
        <w:jc w:val="both"/>
        <w:rPr>
          <w:b w:val="1"/>
          <w:bCs w:val="1"/>
        </w:rPr>
      </w:pPr>
      <w:r>
        <w:rPr>
          <w:b w:val="1"/>
          <w:bCs w:val="1"/>
          <w:rtl w:val="0"/>
          <w:lang w:val="de-DE"/>
        </w:rPr>
        <w:t>Eine Autographensammlung, der Vieweg Verlag und die Herzog August Bibliothek</w:t>
      </w:r>
    </w:p>
    <w:p>
      <w:pPr>
        <w:pStyle w:val="Text"/>
        <w:spacing w:line="360" w:lineRule="auto"/>
        <w:jc w:val="both"/>
      </w:pPr>
      <w:r>
        <w:rPr>
          <w:rtl w:val="0"/>
          <w:lang w:val="de-DE"/>
        </w:rPr>
        <w:t>Im Jahr 1892 verf</w:t>
      </w:r>
      <w:r>
        <w:rPr>
          <w:rtl w:val="0"/>
          <w:lang w:val="de-DE"/>
        </w:rPr>
        <w:t>ü</w:t>
      </w:r>
      <w:r>
        <w:rPr>
          <w:rtl w:val="0"/>
          <w:lang w:val="de-DE"/>
        </w:rPr>
        <w:t>gten die beiden Schwestern Sophie und Lilla Vieweg testamentarisch, dass ihre wertvolle Sammlung von mehr als 2000 Autographen ber</w:t>
      </w:r>
      <w:r>
        <w:rPr>
          <w:rtl w:val="0"/>
          <w:lang w:val="de-DE"/>
        </w:rPr>
        <w:t>ü</w:t>
      </w:r>
      <w:r>
        <w:rPr>
          <w:rtl w:val="0"/>
          <w:lang w:val="de-DE"/>
        </w:rPr>
        <w:t>hmter Pers</w:t>
      </w:r>
      <w:r>
        <w:rPr>
          <w:rtl w:val="0"/>
          <w:lang w:val="de-DE"/>
        </w:rPr>
        <w:t>ö</w:t>
      </w:r>
      <w:r>
        <w:rPr>
          <w:rtl w:val="0"/>
          <w:lang w:val="de-DE"/>
        </w:rPr>
        <w:t>nlichkeiten</w:t>
      </w:r>
      <w:r>
        <w:rPr>
          <w:rtl w:val="0"/>
          <w:lang w:val="de-DE"/>
        </w:rPr>
        <w:t xml:space="preserve"> </w:t>
      </w:r>
      <w:r>
        <w:rPr>
          <w:rtl w:val="0"/>
          <w:lang w:val="de-DE"/>
        </w:rPr>
        <w:t xml:space="preserve">an die Herzog August Bibliothek vermacht wird. Nach dem Tod beider Schwestern kommt das als </w:t>
      </w:r>
      <w:r>
        <w:rPr>
          <w:rtl w:val="0"/>
          <w:lang w:val="de-DE"/>
        </w:rPr>
        <w:t>“</w:t>
      </w:r>
      <w:r>
        <w:rPr>
          <w:rtl w:val="0"/>
          <w:lang w:val="de-DE"/>
        </w:rPr>
        <w:t>Vieweg Sammlung</w:t>
      </w:r>
      <w:r>
        <w:rPr>
          <w:rtl w:val="0"/>
          <w:lang w:val="de-DE"/>
        </w:rPr>
        <w:t xml:space="preserve">” </w:t>
      </w:r>
      <w:r>
        <w:rPr>
          <w:rtl w:val="0"/>
          <w:lang w:val="de-DE"/>
        </w:rPr>
        <w:t xml:space="preserve">deklarierte Textkorpus folglich mit der Bestimmung, dass diese </w:t>
      </w:r>
      <w:r>
        <w:rPr>
          <w:rtl w:val="0"/>
          <w:lang w:val="de-DE"/>
        </w:rPr>
        <w:t>“</w:t>
      </w:r>
      <w:r>
        <w:rPr>
          <w:rtl w:val="0"/>
          <w:lang w:val="de-DE"/>
        </w:rPr>
        <w:t>auch f</w:t>
      </w:r>
      <w:r>
        <w:rPr>
          <w:rtl w:val="0"/>
          <w:lang w:val="de-DE"/>
        </w:rPr>
        <w:t>ü</w:t>
      </w:r>
      <w:r>
        <w:rPr>
          <w:rtl w:val="0"/>
          <w:lang w:val="de-DE"/>
        </w:rPr>
        <w:t>r die Zukunft als gesonderte, abgeschlossene Sammlung fortbestehen solle</w:t>
      </w:r>
      <w:r>
        <w:rPr>
          <w:rtl w:val="0"/>
          <w:lang w:val="de-DE"/>
        </w:rPr>
        <w:t xml:space="preserve">” </w:t>
      </w:r>
      <w:r>
        <w:rPr>
          <w:rtl w:val="0"/>
          <w:lang w:val="de-DE"/>
        </w:rPr>
        <w:t xml:space="preserve">in die Herzog August Bibliothek, wo sie seitdem aufbewahrt und erschlossen wird. </w:t>
      </w:r>
    </w:p>
    <w:p>
      <w:pPr>
        <w:pStyle w:val="Text"/>
        <w:spacing w:line="360" w:lineRule="auto"/>
        <w:ind w:firstLine="720"/>
        <w:jc w:val="both"/>
      </w:pPr>
      <w:r>
        <w:rPr>
          <w:rtl w:val="0"/>
          <w:lang w:val="de-DE"/>
        </w:rPr>
        <w:t xml:space="preserve">Sophie und Lilla Vieweg </w:t>
      </w:r>
      <w:r>
        <w:rPr>
          <w:u w:color="ff0000"/>
          <w:rtl w:val="0"/>
          <w:lang w:val="de-DE"/>
        </w:rPr>
        <w:t>stammen aus einer renommierten Braunschweiger Verlagsfamilie</w:t>
      </w:r>
      <w:r>
        <w:rPr>
          <w:rtl w:val="0"/>
          <w:lang w:val="de-DE"/>
        </w:rPr>
        <w:t>, die mehr als ein Jahrhundert lang den gleichnamigen Verlag zun</w:t>
      </w:r>
      <w:r>
        <w:rPr>
          <w:rtl w:val="0"/>
          <w:lang w:val="de-DE"/>
        </w:rPr>
        <w:t>ä</w:t>
      </w:r>
      <w:r>
        <w:rPr>
          <w:rtl w:val="0"/>
          <w:lang w:val="de-DE"/>
        </w:rPr>
        <w:t>chst in Berlin und sp</w:t>
      </w:r>
      <w:r>
        <w:rPr>
          <w:rtl w:val="0"/>
          <w:lang w:val="de-DE"/>
        </w:rPr>
        <w:t>ä</w:t>
      </w:r>
      <w:r>
        <w:rPr>
          <w:rtl w:val="0"/>
          <w:lang w:val="de-DE"/>
        </w:rPr>
        <w:t>ter dann in Braunschweig f</w:t>
      </w:r>
      <w:r>
        <w:rPr>
          <w:rtl w:val="0"/>
          <w:lang w:val="de-DE"/>
        </w:rPr>
        <w:t>ü</w:t>
      </w:r>
      <w:r>
        <w:rPr>
          <w:rtl w:val="0"/>
          <w:lang w:val="de-DE"/>
        </w:rPr>
        <w:t>hrte. Beide Frauen blieben zeitlebens unverheiratet und wohnten im Stammhaus der Viewegs am Domplatz in Braunschweig, das heute Teil des Braunschweigischen Landesmuseums ist.</w:t>
      </w:r>
    </w:p>
    <w:p>
      <w:pPr>
        <w:pStyle w:val="Text"/>
        <w:spacing w:line="360" w:lineRule="auto"/>
        <w:ind w:firstLine="720"/>
        <w:jc w:val="both"/>
      </w:pPr>
      <w:r>
        <w:rPr>
          <w:rtl w:val="0"/>
          <w:lang w:val="de-DE"/>
        </w:rPr>
        <w:t>Der Vieweg Verlag hat eine lange und bedeutende Geschichte in der Ver</w:t>
      </w:r>
      <w:r>
        <w:rPr>
          <w:rtl w:val="0"/>
          <w:lang w:val="de-DE"/>
        </w:rPr>
        <w:t>ö</w:t>
      </w:r>
      <w:r>
        <w:rPr>
          <w:rtl w:val="0"/>
          <w:lang w:val="de-DE"/>
        </w:rPr>
        <w:t>ffentlichung wissenschaftlicher und technischer Literatur. Gegr</w:t>
      </w:r>
      <w:r>
        <w:rPr>
          <w:rtl w:val="0"/>
          <w:lang w:val="de-DE"/>
        </w:rPr>
        <w:t>ü</w:t>
      </w:r>
      <w:r>
        <w:rPr>
          <w:rtl w:val="0"/>
          <w:lang w:val="de-DE"/>
        </w:rPr>
        <w:t>ndet wurde der Verlag im Jahr 1786 von Friedrich Vieweg, einem Buchh</w:t>
      </w:r>
      <w:r>
        <w:rPr>
          <w:rtl w:val="0"/>
          <w:lang w:val="de-DE"/>
        </w:rPr>
        <w:t>ä</w:t>
      </w:r>
      <w:r>
        <w:rPr>
          <w:rtl w:val="0"/>
          <w:lang w:val="de-DE"/>
        </w:rPr>
        <w:t>ndler und Verleger.</w:t>
      </w:r>
    </w:p>
    <w:p>
      <w:pPr>
        <w:pStyle w:val="Text"/>
        <w:spacing w:line="360" w:lineRule="auto"/>
        <w:ind w:firstLine="720"/>
        <w:jc w:val="both"/>
      </w:pPr>
      <w:r>
        <w:rPr>
          <w:rtl w:val="0"/>
          <w:lang w:val="de-DE"/>
        </w:rPr>
        <w:t>Anfangs wandte sich der Vieweg-Verlag der Publikation geisteswissenscha</w:t>
      </w:r>
      <w:r>
        <w:drawing xmlns:a="http://schemas.openxmlformats.org/drawingml/2006/main">
          <wp:anchor distT="152400" distB="152400" distL="152400" distR="152400" simplePos="0" relativeHeight="251659264" behindDoc="0" locked="0" layoutInCell="1" allowOverlap="1">
            <wp:simplePos x="0" y="0"/>
            <wp:positionH relativeFrom="page">
              <wp:posOffset>914399</wp:posOffset>
            </wp:positionH>
            <wp:positionV relativeFrom="page">
              <wp:posOffset>1050924</wp:posOffset>
            </wp:positionV>
            <wp:extent cx="2344471" cy="1758354"/>
            <wp:effectExtent l="0" t="0" r="0" b="0"/>
            <wp:wrapTopAndBottom distT="152400" distB="152400"/>
            <wp:docPr id="1073741826" name="officeArt object" descr="Google Shape;83;p2"/>
            <wp:cNvGraphicFramePr/>
            <a:graphic xmlns:a="http://schemas.openxmlformats.org/drawingml/2006/main">
              <a:graphicData uri="http://schemas.openxmlformats.org/drawingml/2006/picture">
                <pic:pic xmlns:pic="http://schemas.openxmlformats.org/drawingml/2006/picture">
                  <pic:nvPicPr>
                    <pic:cNvPr id="1073741826" name="Google Shape;83;p2" descr="Google Shape;83;p2"/>
                    <pic:cNvPicPr>
                      <a:picLocks noChangeAspect="1"/>
                    </pic:cNvPicPr>
                  </pic:nvPicPr>
                  <pic:blipFill>
                    <a:blip r:embed="rId4">
                      <a:extLst/>
                    </a:blip>
                    <a:stretch>
                      <a:fillRect/>
                    </a:stretch>
                  </pic:blipFill>
                  <pic:spPr>
                    <a:xfrm>
                      <a:off x="0" y="0"/>
                      <a:ext cx="2344471" cy="1758354"/>
                    </a:xfrm>
                    <a:prstGeom prst="rect">
                      <a:avLst/>
                    </a:prstGeom>
                    <a:ln w="12700" cap="flat">
                      <a:noFill/>
                      <a:miter lim="400000"/>
                    </a:ln>
                    <a:effectLst/>
                  </pic:spPr>
                </pic:pic>
              </a:graphicData>
            </a:graphic>
          </wp:anchor>
        </w:drawing>
      </w:r>
      <w:r>
        <w:rPr>
          <w:rtl w:val="0"/>
          <w:lang w:val="de-DE"/>
        </w:rPr>
        <w:t>ftlicher Texte zu, fokussierte  sich aber schon fr</w:t>
      </w:r>
      <w:r>
        <w:rPr>
          <w:rtl w:val="0"/>
          <w:lang w:val="de-DE"/>
        </w:rPr>
        <w:t>ü</w:t>
      </w:r>
      <w:r>
        <w:rPr>
          <w:rtl w:val="0"/>
          <w:lang w:val="de-DE"/>
        </w:rPr>
        <w:t>h auf den Druck von landwirtschaftlichen und mathematischen Schriften, wobei das seit ihrer Gr</w:t>
      </w:r>
      <w:r>
        <w:rPr>
          <w:rtl w:val="0"/>
          <w:lang w:val="de-DE"/>
        </w:rPr>
        <w:t>ü</w:t>
      </w:r>
      <w:r>
        <w:rPr>
          <w:rtl w:val="0"/>
          <w:lang w:val="de-DE"/>
        </w:rPr>
        <w:t>ndung 1745 Collegium Carolinum, hier sicherlich die Richtung vorgab, da es von Anfang an auch mathematisch-technisch ausgerichtet war und zum Kundenkreis des Verlags geh</w:t>
      </w:r>
      <w:r>
        <w:rPr>
          <w:rtl w:val="0"/>
          <w:lang w:val="de-DE"/>
        </w:rPr>
        <w:t>ö</w:t>
      </w:r>
      <w:r>
        <w:rPr>
          <w:rtl w:val="0"/>
          <w:lang w:val="de-DE"/>
        </w:rPr>
        <w:t xml:space="preserve">rte. Mit der Umbenennung des Collegiums in die </w:t>
      </w:r>
      <w:r>
        <w:rPr>
          <w:rtl w:val="0"/>
          <w:lang w:val="de-DE"/>
        </w:rPr>
        <w:t>“</w:t>
      </w:r>
      <w:r>
        <w:rPr>
          <w:rtl w:val="0"/>
          <w:lang w:val="de-DE"/>
        </w:rPr>
        <w:t>Herzogliche Technische Hochschule</w:t>
      </w:r>
      <w:r>
        <w:rPr>
          <w:rtl w:val="0"/>
          <w:lang w:val="de-DE"/>
        </w:rPr>
        <w:t xml:space="preserve">” </w:t>
      </w:r>
      <w:r>
        <w:rPr>
          <w:rtl w:val="0"/>
        </w:rPr>
        <w:t xml:space="preserve">1878  </w:t>
      </w:r>
      <w:r>
        <w:rPr>
          <w:u w:color="ff0000"/>
          <w:rtl w:val="0"/>
          <w:lang w:val="de-DE"/>
        </w:rPr>
        <w:t>ä</w:t>
      </w:r>
      <w:r>
        <w:rPr>
          <w:u w:color="ff0000"/>
          <w:rtl w:val="0"/>
          <w:lang w:val="de-DE"/>
        </w:rPr>
        <w:t>nderte  der Vieweg Verlag seine Ausrichtung</w:t>
      </w:r>
      <w:r>
        <w:rPr>
          <w:rtl w:val="0"/>
          <w:lang w:val="de-DE"/>
        </w:rPr>
        <w:t xml:space="preserve"> und publizierte vermehrt Werke aus den Bereichen Ingenieurwesen, Naturwissenschaften, Architektur und verwandten Disziplinen.</w:t>
      </w:r>
    </w:p>
    <w:p>
      <w:pPr>
        <w:pStyle w:val="Text"/>
        <w:spacing w:line="360" w:lineRule="auto"/>
        <w:ind w:firstLine="720"/>
        <w:jc w:val="both"/>
      </w:pPr>
      <w:r>
        <w:rPr>
          <w:rtl w:val="0"/>
          <w:lang w:val="de-DE"/>
        </w:rPr>
        <w:t>Im Laufe des 19. Jahrhunderts etablierte sich der Vieweg Verlag als einer der f</w:t>
      </w:r>
      <w:r>
        <w:rPr>
          <w:rtl w:val="0"/>
          <w:lang w:val="de-DE"/>
        </w:rPr>
        <w:t>ü</w:t>
      </w:r>
      <w:r>
        <w:rPr>
          <w:rtl w:val="0"/>
          <w:lang w:val="de-DE"/>
        </w:rPr>
        <w:t>hrenden Verlage im deutschsprachigen Raum und erlangte internationale Anerkennung. Viele bedeutende Wissenschaftler und Autoren ver</w:t>
      </w:r>
      <w:r>
        <w:rPr>
          <w:rtl w:val="0"/>
          <w:lang w:val="de-DE"/>
        </w:rPr>
        <w:t>ö</w:t>
      </w:r>
      <w:r>
        <w:rPr>
          <w:rtl w:val="0"/>
          <w:lang w:val="de-DE"/>
        </w:rPr>
        <w:t>ffentlichten ihre Werke bei Vieweg, darunter Carl Friedrich Gau</w:t>
      </w:r>
      <w:r>
        <w:rPr>
          <w:rtl w:val="0"/>
          <w:lang w:val="de-DE"/>
        </w:rPr>
        <w:t>ß</w:t>
      </w:r>
      <w:r>
        <w:rPr>
          <w:rtl w:val="0"/>
          <w:lang w:val="de-DE"/>
        </w:rPr>
        <w:t>, Johann Wolfgang von Goethe, Hermann von Helmholtz und Ernst Mach.</w:t>
      </w:r>
    </w:p>
    <w:p>
      <w:pPr>
        <w:pStyle w:val="Text"/>
        <w:spacing w:line="360" w:lineRule="auto"/>
        <w:ind w:firstLine="720"/>
        <w:jc w:val="both"/>
      </w:pPr>
      <w:r>
        <w:rPr>
          <w:rtl w:val="0"/>
          <w:lang w:val="de-DE"/>
        </w:rPr>
        <w:t>Besonders bekannt wurde der Vieweg Verlag f</w:t>
      </w:r>
      <w:r>
        <w:rPr>
          <w:rtl w:val="0"/>
          <w:lang w:val="de-DE"/>
        </w:rPr>
        <w:t>ü</w:t>
      </w:r>
      <w:r>
        <w:rPr>
          <w:rtl w:val="0"/>
          <w:lang w:val="de-DE"/>
        </w:rPr>
        <w:t>r seine Ver</w:t>
      </w:r>
      <w:r>
        <w:rPr>
          <w:rtl w:val="0"/>
          <w:lang w:val="de-DE"/>
        </w:rPr>
        <w:t>ö</w:t>
      </w:r>
      <w:r>
        <w:rPr>
          <w:rtl w:val="0"/>
          <w:lang w:val="de-DE"/>
        </w:rPr>
        <w:t>ffentlichungen im Bereich Mathematik und Physik. Zahlreiche wegweisende wissenschaftliche Werke, Lehrb</w:t>
      </w:r>
      <w:r>
        <w:rPr>
          <w:rtl w:val="0"/>
          <w:lang w:val="de-DE"/>
        </w:rPr>
        <w:t>ü</w:t>
      </w:r>
      <w:r>
        <w:rPr>
          <w:rtl w:val="0"/>
          <w:lang w:val="de-DE"/>
        </w:rPr>
        <w:t>cher und Fachzeitschriften wurden hier ver</w:t>
      </w:r>
      <w:r>
        <w:rPr>
          <w:rtl w:val="0"/>
          <w:lang w:val="de-DE"/>
        </w:rPr>
        <w:t>ö</w:t>
      </w:r>
      <w:r>
        <w:rPr>
          <w:rtl w:val="0"/>
          <w:lang w:val="de-DE"/>
        </w:rPr>
        <w:t>ffentlicht, wodurch er einen bedeutenden Beitrag zur Verbreitung des Wissens und zur Weiterentwicklung dieser Disziplinen leistete.</w:t>
      </w:r>
    </w:p>
    <w:p>
      <w:pPr>
        <w:pStyle w:val="Text"/>
        <w:spacing w:line="360" w:lineRule="auto"/>
        <w:ind w:firstLine="720"/>
        <w:jc w:val="both"/>
      </w:pPr>
      <w:r>
        <w:rPr>
          <w:rtl w:val="0"/>
          <w:lang w:val="de-DE"/>
        </w:rPr>
        <w:t>Im Laufe des 20. Jahrhunderts ver</w:t>
      </w:r>
      <w:r>
        <w:rPr>
          <w:rtl w:val="0"/>
          <w:lang w:val="de-DE"/>
        </w:rPr>
        <w:t>ä</w:t>
      </w:r>
      <w:r>
        <w:rPr>
          <w:rtl w:val="0"/>
          <w:lang w:val="de-DE"/>
        </w:rPr>
        <w:t xml:space="preserve">nderte sich der Vieweg Verlag im Zuge von Fusionen und </w:t>
      </w:r>
      <w:r>
        <w:rPr>
          <w:rtl w:val="0"/>
          <w:lang w:val="de-DE"/>
        </w:rPr>
        <w:t>Ü</w:t>
      </w:r>
      <w:r>
        <w:rPr>
          <w:rtl w:val="0"/>
          <w:lang w:val="de-DE"/>
        </w:rPr>
        <w:t xml:space="preserve">bernahmen mehrfach. Dennoch blieb er </w:t>
      </w:r>
      <w:r>
        <w:rPr>
          <w:u w:color="ff0000"/>
          <w:rtl w:val="0"/>
          <w:lang w:val="de-DE"/>
        </w:rPr>
        <w:t>ein wichtiger Verlag</w:t>
      </w:r>
      <w:r>
        <w:rPr>
          <w:rtl w:val="0"/>
        </w:rPr>
        <w:t xml:space="preserve"> f</w:t>
      </w:r>
      <w:r>
        <w:rPr>
          <w:rtl w:val="0"/>
          <w:lang w:val="de-DE"/>
        </w:rPr>
        <w:t>ü</w:t>
      </w:r>
      <w:r>
        <w:rPr>
          <w:rtl w:val="0"/>
          <w:lang w:val="de-DE"/>
        </w:rPr>
        <w:t>r wissenschaftliche Publikationen und trug zur Verbreitung von Fachliteratur in verschiedenen Bereichen bei.</w:t>
      </w:r>
    </w:p>
    <w:p>
      <w:pPr>
        <w:pStyle w:val="Text"/>
        <w:spacing w:line="360" w:lineRule="auto"/>
        <w:ind w:firstLine="720"/>
        <w:jc w:val="both"/>
      </w:pPr>
      <w:r>
        <w:rPr>
          <w:rtl w:val="0"/>
          <w:lang w:val="de-DE"/>
        </w:rPr>
        <w:t>Heute geh</w:t>
      </w:r>
      <w:r>
        <w:rPr>
          <w:rtl w:val="0"/>
          <w:lang w:val="de-DE"/>
        </w:rPr>
        <w:t>ö</w:t>
      </w:r>
      <w:r>
        <w:rPr>
          <w:rtl w:val="0"/>
          <w:lang w:val="de-DE"/>
        </w:rPr>
        <w:t>rt der Vieweg Verlag zur Springer Nature Gruppe und ist weiterhin als renommierter Verlag f</w:t>
      </w:r>
      <w:r>
        <w:rPr>
          <w:rtl w:val="0"/>
          <w:lang w:val="de-DE"/>
        </w:rPr>
        <w:t>ü</w:t>
      </w:r>
      <w:r>
        <w:rPr>
          <w:rtl w:val="0"/>
          <w:lang w:val="de-DE"/>
        </w:rPr>
        <w:t>r wissenschaftliche und technische Publikationen aktiv.</w:t>
      </w:r>
    </w:p>
    <w:p>
      <w:pPr>
        <w:pStyle w:val="Text"/>
        <w:spacing w:line="360" w:lineRule="auto"/>
        <w:jc w:val="both"/>
      </w:pPr>
    </w:p>
    <w:p>
      <w:pPr>
        <w:pStyle w:val="Text"/>
        <w:spacing w:line="360" w:lineRule="auto"/>
        <w:jc w:val="both"/>
        <w:rPr>
          <w:b w:val="1"/>
          <w:bCs w:val="1"/>
        </w:rPr>
      </w:pPr>
      <w:r>
        <w:rPr>
          <w:b w:val="1"/>
          <w:bCs w:val="1"/>
          <w:rtl w:val="0"/>
          <w:lang w:val="de-DE"/>
        </w:rPr>
        <w:t>Die Sammlung in der Herzog August Bibliothek</w:t>
      </w:r>
    </w:p>
    <w:p>
      <w:pPr>
        <w:pStyle w:val="Text"/>
        <w:spacing w:line="360" w:lineRule="auto"/>
        <w:ind w:firstLine="720"/>
        <w:jc w:val="both"/>
      </w:pPr>
    </w:p>
    <w:p>
      <w:pPr>
        <w:pStyle w:val="Text"/>
        <w:spacing w:line="360" w:lineRule="auto"/>
        <w:jc w:val="both"/>
      </w:pPr>
      <w:r>
        <w:rPr>
          <w:rtl w:val="0"/>
          <w:lang w:val="de-DE"/>
        </w:rPr>
        <w:t xml:space="preserve">Nach der </w:t>
      </w:r>
      <w:r>
        <w:rPr>
          <w:rtl w:val="0"/>
          <w:lang w:val="de-DE"/>
        </w:rPr>
        <w:t>Ü</w:t>
      </w:r>
      <w:r>
        <w:rPr>
          <w:rtl w:val="0"/>
          <w:lang w:val="de-DE"/>
        </w:rPr>
        <w:t>bergabe an die Bibliothek ordnete der damalige Bibliothekar Gustav Heinemann die Sammlung neu und verzeichnete den Bestand in einem eigens daf</w:t>
      </w:r>
      <w:r>
        <w:rPr>
          <w:rtl w:val="0"/>
          <w:lang w:val="de-DE"/>
        </w:rPr>
        <w:t>ü</w:t>
      </w:r>
      <w:r>
        <w:rPr>
          <w:rtl w:val="0"/>
          <w:lang w:val="de-DE"/>
        </w:rPr>
        <w:t>r angelegten Verzeichnis alphabetisch und get</w:t>
      </w:r>
      <w:r>
        <w:drawing xmlns:a="http://schemas.openxmlformats.org/drawingml/2006/main">
          <wp:anchor distT="152400" distB="152400" distL="152400" distR="152400" simplePos="0" relativeHeight="251660288" behindDoc="0" locked="0" layoutInCell="1" allowOverlap="1">
            <wp:simplePos x="0" y="0"/>
            <wp:positionH relativeFrom="page">
              <wp:posOffset>914399</wp:posOffset>
            </wp:positionH>
            <wp:positionV relativeFrom="page">
              <wp:posOffset>4479015</wp:posOffset>
            </wp:positionV>
            <wp:extent cx="2405874" cy="1964406"/>
            <wp:effectExtent l="0" t="0" r="0" b="0"/>
            <wp:wrapTopAndBottom distT="152400" distB="152400"/>
            <wp:docPr id="1073741827" name="officeArt object" descr="Google Shape;120;p6"/>
            <wp:cNvGraphicFramePr/>
            <a:graphic xmlns:a="http://schemas.openxmlformats.org/drawingml/2006/main">
              <a:graphicData uri="http://schemas.openxmlformats.org/drawingml/2006/picture">
                <pic:pic xmlns:pic="http://schemas.openxmlformats.org/drawingml/2006/picture">
                  <pic:nvPicPr>
                    <pic:cNvPr id="1073741827" name="Google Shape;120;p6" descr="Google Shape;120;p6"/>
                    <pic:cNvPicPr>
                      <a:picLocks noChangeAspect="1"/>
                    </pic:cNvPicPr>
                  </pic:nvPicPr>
                  <pic:blipFill>
                    <a:blip r:embed="rId5">
                      <a:extLst/>
                    </a:blip>
                    <a:stretch>
                      <a:fillRect/>
                    </a:stretch>
                  </pic:blipFill>
                  <pic:spPr>
                    <a:xfrm>
                      <a:off x="0" y="0"/>
                      <a:ext cx="2405874" cy="1964406"/>
                    </a:xfrm>
                    <a:prstGeom prst="rect">
                      <a:avLst/>
                    </a:prstGeom>
                    <a:ln w="12700" cap="flat">
                      <a:noFill/>
                      <a:miter lim="400000"/>
                    </a:ln>
                    <a:effectLst/>
                  </pic:spPr>
                </pic:pic>
              </a:graphicData>
            </a:graphic>
          </wp:anchor>
        </w:drawing>
      </w:r>
      <w:r>
        <w:drawing xmlns:a="http://schemas.openxmlformats.org/drawingml/2006/main">
          <wp:anchor distT="152400" distB="152400" distL="152400" distR="152400" simplePos="0" relativeHeight="251661312" behindDoc="0" locked="0" layoutInCell="1" allowOverlap="1">
            <wp:simplePos x="0" y="0"/>
            <wp:positionH relativeFrom="page">
              <wp:posOffset>914399</wp:posOffset>
            </wp:positionH>
            <wp:positionV relativeFrom="page">
              <wp:posOffset>7357532</wp:posOffset>
            </wp:positionV>
            <wp:extent cx="1602410" cy="1930433"/>
            <wp:effectExtent l="0" t="0" r="0" b="0"/>
            <wp:wrapTopAndBottom distT="152400" distB="152400"/>
            <wp:docPr id="1073741828" name="officeArt object" descr="Google Shape;136;p8"/>
            <wp:cNvGraphicFramePr/>
            <a:graphic xmlns:a="http://schemas.openxmlformats.org/drawingml/2006/main">
              <a:graphicData uri="http://schemas.openxmlformats.org/drawingml/2006/picture">
                <pic:pic xmlns:pic="http://schemas.openxmlformats.org/drawingml/2006/picture">
                  <pic:nvPicPr>
                    <pic:cNvPr id="1073741828" name="Google Shape;136;p8" descr="Google Shape;136;p8"/>
                    <pic:cNvPicPr>
                      <a:picLocks noChangeAspect="1"/>
                    </pic:cNvPicPr>
                  </pic:nvPicPr>
                  <pic:blipFill>
                    <a:blip r:embed="rId6">
                      <a:extLst/>
                    </a:blip>
                    <a:stretch>
                      <a:fillRect/>
                    </a:stretch>
                  </pic:blipFill>
                  <pic:spPr>
                    <a:xfrm>
                      <a:off x="0" y="0"/>
                      <a:ext cx="1602410" cy="1930433"/>
                    </a:xfrm>
                    <a:prstGeom prst="rect">
                      <a:avLst/>
                    </a:prstGeom>
                    <a:ln w="12700" cap="flat">
                      <a:noFill/>
                      <a:miter lim="400000"/>
                    </a:ln>
                    <a:effectLst/>
                  </pic:spPr>
                </pic:pic>
              </a:graphicData>
            </a:graphic>
          </wp:anchor>
        </w:drawing>
      </w:r>
      <w:r>
        <w:rPr>
          <w:rtl w:val="0"/>
          <w:lang w:val="de-DE"/>
        </w:rPr>
        <w:t>rennt nach b</w:t>
      </w:r>
      <w:r>
        <w:rPr>
          <w:rtl w:val="0"/>
          <w:lang w:val="de-DE"/>
        </w:rPr>
        <w:t>ü</w:t>
      </w:r>
      <w:r>
        <w:rPr>
          <w:rtl w:val="0"/>
          <w:lang w:val="de-DE"/>
        </w:rPr>
        <w:t>rgerlichen und adligen VerfasserInnen. Im Bestand der Vieweg-Sammlung selbst ist ein Katalog vorhanden, der nicht von Heinemann geschrieben wurde und vermutlich das urspr</w:t>
      </w:r>
      <w:r>
        <w:rPr>
          <w:rtl w:val="0"/>
          <w:lang w:val="de-DE"/>
        </w:rPr>
        <w:t>ü</w:t>
      </w:r>
      <w:r>
        <w:rPr>
          <w:rtl w:val="0"/>
          <w:lang w:val="de-DE"/>
        </w:rPr>
        <w:t>ngliche Verzeichnis der Sammlung darstellt. Hier wurden alle AutorInnen alphabetisch verzeichnet. Gro</w:t>
      </w:r>
      <w:r>
        <w:rPr>
          <w:rtl w:val="0"/>
          <w:lang w:val="de-DE"/>
        </w:rPr>
        <w:t>ß</w:t>
      </w:r>
      <w:r>
        <w:rPr>
          <w:rtl w:val="0"/>
        </w:rPr>
        <w:t>e L</w:t>
      </w:r>
      <w:r>
        <w:rPr>
          <w:rtl w:val="0"/>
          <w:lang w:val="de-DE"/>
        </w:rPr>
        <w:t>ü</w:t>
      </w:r>
      <w:r>
        <w:rPr>
          <w:rtl w:val="0"/>
          <w:lang w:val="de-DE"/>
        </w:rPr>
        <w:t>cken und leere Seiten deuten darauf hin, dass der Katalog fortlaufend gef</w:t>
      </w:r>
      <w:r>
        <w:rPr>
          <w:rtl w:val="0"/>
          <w:lang w:val="de-DE"/>
        </w:rPr>
        <w:t>ü</w:t>
      </w:r>
      <w:r>
        <w:rPr>
          <w:rtl w:val="0"/>
          <w:lang w:val="de-DE"/>
        </w:rPr>
        <w:t>hrt wurde.</w:t>
      </w:r>
    </w:p>
    <w:p>
      <w:pPr>
        <w:pStyle w:val="Text"/>
        <w:spacing w:line="360" w:lineRule="auto"/>
        <w:jc w:val="both"/>
      </w:pPr>
      <w:r>
        <w:rPr>
          <w:rtl w:val="0"/>
          <w:lang w:val="de-DE"/>
        </w:rPr>
        <w:t>Heinemann selbst schreibt im Jahr 1901 in einer Notiz zu seinem neu angelegten Katalog, dass die Sammlung urspr</w:t>
      </w:r>
      <w:r>
        <w:rPr>
          <w:rtl w:val="0"/>
          <w:lang w:val="de-DE"/>
        </w:rPr>
        <w:t>ü</w:t>
      </w:r>
      <w:r>
        <w:rPr>
          <w:rtl w:val="0"/>
          <w:lang w:val="de-DE"/>
        </w:rPr>
        <w:t>nglich nach Berufen, wie etwa Schriftstellern, Dichtern oder Milit</w:t>
      </w:r>
      <w:r>
        <w:rPr>
          <w:rtl w:val="0"/>
          <w:lang w:val="de-DE"/>
        </w:rPr>
        <w:t>ä</w:t>
      </w:r>
      <w:r>
        <w:rPr>
          <w:rtl w:val="0"/>
          <w:lang w:val="de-DE"/>
        </w:rPr>
        <w:t>rangeh</w:t>
      </w:r>
      <w:r>
        <w:rPr>
          <w:rtl w:val="0"/>
          <w:lang w:val="de-DE"/>
        </w:rPr>
        <w:t>ö</w:t>
      </w:r>
      <w:r>
        <w:rPr>
          <w:rtl w:val="0"/>
          <w:lang w:val="de-DE"/>
        </w:rPr>
        <w:t>rigen geordnet war.</w:t>
      </w:r>
    </w:p>
    <w:p>
      <w:pPr>
        <w:pStyle w:val="Text"/>
        <w:spacing w:line="360" w:lineRule="auto"/>
        <w:ind w:firstLine="720"/>
        <w:jc w:val="both"/>
      </w:pPr>
      <w:r>
        <w:rPr>
          <w:rtl w:val="0"/>
          <w:lang w:val="nl-NL"/>
        </w:rPr>
        <w:t>In j</w:t>
      </w:r>
      <w:r>
        <w:rPr>
          <w:rtl w:val="0"/>
          <w:lang w:val="de-DE"/>
        </w:rPr>
        <w:t>ü</w:t>
      </w:r>
      <w:r>
        <w:rPr>
          <w:rtl w:val="0"/>
          <w:lang w:val="de-DE"/>
        </w:rPr>
        <w:t>ngerer Zeit wurde der Bestand in zwei unterschiedlichen Nachweissystemen gef</w:t>
      </w:r>
      <w:r>
        <w:rPr>
          <w:rtl w:val="0"/>
          <w:lang w:val="de-DE"/>
        </w:rPr>
        <w:t>ü</w:t>
      </w:r>
      <w:r>
        <w:rPr>
          <w:rtl w:val="0"/>
          <w:lang w:val="de-DE"/>
        </w:rPr>
        <w:t>hrt. Erstens im Autographenverzeichnis der Bibliothek, das im Freihandbereich der Handschriftenabteilung steht und zweitens in der Online-Datenbank Kalliope, in der das Vieweg-Archiv von 1998 - 2016 eingearbeitet wurde.</w:t>
      </w:r>
    </w:p>
    <w:p>
      <w:pPr>
        <w:pStyle w:val="Text"/>
        <w:spacing w:line="360" w:lineRule="auto"/>
        <w:ind w:firstLine="720"/>
        <w:jc w:val="both"/>
        <w:rPr>
          <w:u w:color="ff0000"/>
        </w:rPr>
      </w:pPr>
    </w:p>
    <w:p>
      <w:pPr>
        <w:pStyle w:val="Text"/>
        <w:spacing w:line="360" w:lineRule="auto"/>
        <w:jc w:val="both"/>
        <w:rPr>
          <w:b w:val="1"/>
          <w:bCs w:val="1"/>
        </w:rPr>
      </w:pPr>
      <w:r>
        <w:rPr>
          <w:b w:val="1"/>
          <w:bCs w:val="1"/>
          <w:rtl w:val="0"/>
          <w:lang w:val="de-DE"/>
        </w:rPr>
        <w:t>Genaue Beschreibung des Bestands</w:t>
      </w:r>
    </w:p>
    <w:p>
      <w:pPr>
        <w:pStyle w:val="Text"/>
        <w:spacing w:line="360" w:lineRule="auto"/>
        <w:jc w:val="both"/>
      </w:pPr>
      <w:r>
        <w:rPr>
          <w:rtl w:val="0"/>
          <w:lang w:val="de-DE"/>
        </w:rPr>
        <w:t>Bei dem Wolfenb</w:t>
      </w:r>
      <w:r>
        <w:rPr>
          <w:rtl w:val="0"/>
          <w:lang w:val="de-DE"/>
        </w:rPr>
        <w:t>ü</w:t>
      </w:r>
      <w:r>
        <w:rPr>
          <w:rtl w:val="0"/>
          <w:lang w:val="de-DE"/>
        </w:rPr>
        <w:t>tteler Bestand zum Vieweg-Verlag handelt es sich um ungef</w:t>
      </w:r>
      <w:r>
        <w:rPr>
          <w:rtl w:val="0"/>
          <w:lang w:val="de-DE"/>
        </w:rPr>
        <w:t>ä</w:t>
      </w:r>
      <w:r>
        <w:rPr>
          <w:rtl w:val="0"/>
          <w:lang w:val="de-DE"/>
        </w:rPr>
        <w:t>hr 2000 Briefe aus dem Umkreis der Familie, des Verlags und ber</w:t>
      </w:r>
      <w:r>
        <w:rPr>
          <w:rtl w:val="0"/>
          <w:lang w:val="de-DE"/>
        </w:rPr>
        <w:t>ü</w:t>
      </w:r>
      <w:r>
        <w:rPr>
          <w:rtl w:val="0"/>
          <w:lang w:val="de-DE"/>
        </w:rPr>
        <w:t>hmter Personen. Des Weiteren geh</w:t>
      </w:r>
      <w:r>
        <w:rPr>
          <w:rtl w:val="0"/>
          <w:lang w:val="de-DE"/>
        </w:rPr>
        <w:t>ö</w:t>
      </w:r>
      <w:r>
        <w:rPr>
          <w:rtl w:val="0"/>
          <w:lang w:val="de-DE"/>
        </w:rPr>
        <w:t xml:space="preserve">ren 41 Kupferstiche, Manuskripte, Gedichte, Noten, ein Stammblatt von Johann Gottfried Eichhorn, sowie eine Erstausgabe von Jean Pauls Roman </w:t>
      </w:r>
      <w:r>
        <w:rPr>
          <w:rtl w:val="0"/>
          <w:lang w:val="de-DE"/>
        </w:rPr>
        <w:t>“</w:t>
      </w:r>
      <w:r>
        <w:rPr>
          <w:rtl w:val="0"/>
          <w:lang w:val="de-DE"/>
        </w:rPr>
        <w:t>Katzenbergers Badereise</w:t>
      </w:r>
      <w:r>
        <w:rPr>
          <w:rtl w:val="0"/>
          <w:lang w:val="de-DE"/>
        </w:rPr>
        <w:t xml:space="preserve">” </w:t>
      </w:r>
      <w:r>
        <w:rPr>
          <w:rtl w:val="0"/>
          <w:lang w:val="de-DE"/>
        </w:rPr>
        <w:t>(1809) mit unz</w:t>
      </w:r>
      <w:r>
        <w:rPr>
          <w:rtl w:val="0"/>
          <w:lang w:val="de-DE"/>
        </w:rPr>
        <w:t>ä</w:t>
      </w:r>
      <w:r>
        <w:rPr>
          <w:rtl w:val="0"/>
          <w:lang w:val="de-DE"/>
        </w:rPr>
        <w:t>hligen Anmerkungen des Autors zur zweiten Auflage zur Sammlung Vieweg. Eine handschriftlich angefertigte Visitenkarte von Ludwig van Beethoven oder eine von Radetzky am Hut getragene Feder w</w:t>
      </w:r>
      <w:r>
        <w:rPr>
          <w:rtl w:val="0"/>
          <w:lang w:val="de-DE"/>
        </w:rPr>
        <w:t>ä</w:t>
      </w:r>
      <w:r>
        <w:rPr>
          <w:rtl w:val="0"/>
          <w:lang w:val="de-DE"/>
        </w:rPr>
        <w:t>hrend eines Revolutionsgefechts des Jahres 1848 stellen zweifelsohne einige der in der Sammlung befindlichen Kuriosit</w:t>
      </w:r>
      <w:r>
        <w:rPr>
          <w:rtl w:val="0"/>
          <w:lang w:val="de-DE"/>
        </w:rPr>
        <w:t>ä</w:t>
      </w:r>
      <w:r>
        <w:rPr>
          <w:rtl w:val="0"/>
        </w:rPr>
        <w:t xml:space="preserve">ten dar. </w:t>
      </w:r>
    </w:p>
    <w:p>
      <w:pPr>
        <w:pStyle w:val="Text"/>
        <w:spacing w:line="360" w:lineRule="auto"/>
        <w:ind w:firstLine="720"/>
        <w:jc w:val="both"/>
      </w:pPr>
      <w:r>
        <w:rPr>
          <w:rtl w:val="0"/>
          <w:lang w:val="de-DE"/>
        </w:rPr>
        <w:t>Fast immer sind ein oder entsprechend des Sammlungsbe</w:t>
      </w:r>
      <w:r>
        <w:drawing xmlns:a="http://schemas.openxmlformats.org/drawingml/2006/main">
          <wp:anchor distT="152400" distB="152400" distL="152400" distR="152400" simplePos="0" relativeHeight="251662336" behindDoc="0" locked="0" layoutInCell="1" allowOverlap="1">
            <wp:simplePos x="0" y="0"/>
            <wp:positionH relativeFrom="page">
              <wp:posOffset>790914</wp:posOffset>
            </wp:positionH>
            <wp:positionV relativeFrom="page">
              <wp:posOffset>5074135</wp:posOffset>
            </wp:positionV>
            <wp:extent cx="1434289" cy="1044412"/>
            <wp:effectExtent l="0" t="0" r="0" b="0"/>
            <wp:wrapTopAndBottom distT="152400" distB="152400"/>
            <wp:docPr id="1073741829" name="officeArt object" descr="IMG_1271.jpeg"/>
            <wp:cNvGraphicFramePr/>
            <a:graphic xmlns:a="http://schemas.openxmlformats.org/drawingml/2006/main">
              <a:graphicData uri="http://schemas.openxmlformats.org/drawingml/2006/picture">
                <pic:pic xmlns:pic="http://schemas.openxmlformats.org/drawingml/2006/picture">
                  <pic:nvPicPr>
                    <pic:cNvPr id="1073741829" name="IMG_1271.jpeg" descr="IMG_1271.jpeg"/>
                    <pic:cNvPicPr>
                      <a:picLocks noChangeAspect="1"/>
                    </pic:cNvPicPr>
                  </pic:nvPicPr>
                  <pic:blipFill>
                    <a:blip r:embed="rId7">
                      <a:extLst/>
                    </a:blip>
                    <a:srcRect l="17836" t="15076" r="17836" b="22469"/>
                    <a:stretch>
                      <a:fillRect/>
                    </a:stretch>
                  </pic:blipFill>
                  <pic:spPr>
                    <a:xfrm rot="16200000">
                      <a:off x="0" y="0"/>
                      <a:ext cx="1434289" cy="1044412"/>
                    </a:xfrm>
                    <a:prstGeom prst="rect">
                      <a:avLst/>
                    </a:prstGeom>
                    <a:ln w="12700" cap="flat">
                      <a:noFill/>
                      <a:miter lim="400000"/>
                    </a:ln>
                    <a:effectLst/>
                  </pic:spPr>
                </pic:pic>
              </a:graphicData>
            </a:graphic>
          </wp:anchor>
        </w:drawing>
      </w:r>
      <w:r>
        <w:drawing xmlns:a="http://schemas.openxmlformats.org/drawingml/2006/main">
          <wp:anchor distT="152400" distB="152400" distL="152400" distR="152400" simplePos="0" relativeHeight="251663360" behindDoc="0" locked="0" layoutInCell="1" allowOverlap="1">
            <wp:simplePos x="0" y="0"/>
            <wp:positionH relativeFrom="page">
              <wp:posOffset>2129350</wp:posOffset>
            </wp:positionH>
            <wp:positionV relativeFrom="page">
              <wp:posOffset>4879114</wp:posOffset>
            </wp:positionV>
            <wp:extent cx="1864070" cy="1434372"/>
            <wp:effectExtent l="0" t="0" r="0" b="0"/>
            <wp:wrapTopAndBottom distT="152400" distB="152400"/>
            <wp:docPr id="1073741830" name="officeArt object" descr="IMG_1318.jpeg"/>
            <wp:cNvGraphicFramePr/>
            <a:graphic xmlns:a="http://schemas.openxmlformats.org/drawingml/2006/main">
              <a:graphicData uri="http://schemas.openxmlformats.org/drawingml/2006/picture">
                <pic:pic xmlns:pic="http://schemas.openxmlformats.org/drawingml/2006/picture">
                  <pic:nvPicPr>
                    <pic:cNvPr id="1073741830" name="IMG_1318.jpeg" descr="IMG_1318.jpeg"/>
                    <pic:cNvPicPr>
                      <a:picLocks noChangeAspect="1"/>
                    </pic:cNvPicPr>
                  </pic:nvPicPr>
                  <pic:blipFill>
                    <a:blip r:embed="rId8">
                      <a:extLst/>
                    </a:blip>
                    <a:srcRect l="3407" t="3280" r="4938" b="2684"/>
                    <a:stretch>
                      <a:fillRect/>
                    </a:stretch>
                  </pic:blipFill>
                  <pic:spPr>
                    <a:xfrm rot="10800000">
                      <a:off x="0" y="0"/>
                      <a:ext cx="1864070" cy="1434372"/>
                    </a:xfrm>
                    <a:prstGeom prst="rect">
                      <a:avLst/>
                    </a:prstGeom>
                    <a:ln w="12700" cap="flat">
                      <a:noFill/>
                      <a:miter lim="400000"/>
                    </a:ln>
                    <a:effectLst/>
                  </pic:spPr>
                </pic:pic>
              </a:graphicData>
            </a:graphic>
          </wp:anchor>
        </w:drawing>
      </w:r>
      <w:r>
        <w:drawing xmlns:a="http://schemas.openxmlformats.org/drawingml/2006/main">
          <wp:anchor distT="152400" distB="152400" distL="152400" distR="152400" simplePos="0" relativeHeight="251664384" behindDoc="0" locked="0" layoutInCell="1" allowOverlap="1">
            <wp:simplePos x="0" y="0"/>
            <wp:positionH relativeFrom="page">
              <wp:posOffset>914511</wp:posOffset>
            </wp:positionH>
            <wp:positionV relativeFrom="page">
              <wp:posOffset>7687960</wp:posOffset>
            </wp:positionV>
            <wp:extent cx="1825514" cy="1391924"/>
            <wp:effectExtent l="0" t="0" r="0" b="0"/>
            <wp:wrapTopAndBottom distT="152400" distB="152400"/>
            <wp:docPr id="1073741831" name="officeArt object" descr="IMG_1289.jpeg"/>
            <wp:cNvGraphicFramePr/>
            <a:graphic xmlns:a="http://schemas.openxmlformats.org/drawingml/2006/main">
              <a:graphicData uri="http://schemas.openxmlformats.org/drawingml/2006/picture">
                <pic:pic xmlns:pic="http://schemas.openxmlformats.org/drawingml/2006/picture">
                  <pic:nvPicPr>
                    <pic:cNvPr id="1073741831" name="IMG_1289.jpeg" descr="IMG_1289.jpeg"/>
                    <pic:cNvPicPr>
                      <a:picLocks noChangeAspect="1"/>
                    </pic:cNvPicPr>
                  </pic:nvPicPr>
                  <pic:blipFill>
                    <a:blip r:embed="rId9">
                      <a:extLst/>
                    </a:blip>
                    <a:srcRect l="818" t="0" r="818" b="0"/>
                    <a:stretch>
                      <a:fillRect/>
                    </a:stretch>
                  </pic:blipFill>
                  <pic:spPr>
                    <a:xfrm rot="10800000">
                      <a:off x="0" y="0"/>
                      <a:ext cx="1825514" cy="1391924"/>
                    </a:xfrm>
                    <a:prstGeom prst="rect">
                      <a:avLst/>
                    </a:prstGeom>
                    <a:ln w="12700" cap="flat">
                      <a:noFill/>
                      <a:miter lim="400000"/>
                    </a:ln>
                    <a:effectLst/>
                  </pic:spPr>
                </pic:pic>
              </a:graphicData>
            </a:graphic>
          </wp:anchor>
        </w:drawing>
      </w:r>
      <w:r>
        <w:drawing xmlns:a="http://schemas.openxmlformats.org/drawingml/2006/main">
          <wp:anchor distT="152400" distB="152400" distL="152400" distR="152400" simplePos="0" relativeHeight="251665408" behindDoc="0" locked="0" layoutInCell="1" allowOverlap="1">
            <wp:simplePos x="0" y="0"/>
            <wp:positionH relativeFrom="page">
              <wp:posOffset>914233</wp:posOffset>
            </wp:positionH>
            <wp:positionV relativeFrom="page">
              <wp:posOffset>1678349</wp:posOffset>
            </wp:positionV>
            <wp:extent cx="1559092" cy="1134312"/>
            <wp:effectExtent l="0" t="0" r="0" b="0"/>
            <wp:wrapTopAndBottom distT="152400" distB="152400"/>
            <wp:docPr id="1073741832" name="officeArt object" descr="IMG_1297.jpeg"/>
            <wp:cNvGraphicFramePr/>
            <a:graphic xmlns:a="http://schemas.openxmlformats.org/drawingml/2006/main">
              <a:graphicData uri="http://schemas.openxmlformats.org/drawingml/2006/picture">
                <pic:pic xmlns:pic="http://schemas.openxmlformats.org/drawingml/2006/picture">
                  <pic:nvPicPr>
                    <pic:cNvPr id="1073741832" name="IMG_1297.jpeg" descr="IMG_1297.jpeg"/>
                    <pic:cNvPicPr>
                      <a:picLocks noChangeAspect="1"/>
                    </pic:cNvPicPr>
                  </pic:nvPicPr>
                  <pic:blipFill>
                    <a:blip r:embed="rId10">
                      <a:extLst/>
                    </a:blip>
                    <a:srcRect l="1483" t="7405" r="3064" b="0"/>
                    <a:stretch>
                      <a:fillRect/>
                    </a:stretch>
                  </pic:blipFill>
                  <pic:spPr>
                    <a:xfrm rot="10800000">
                      <a:off x="0" y="0"/>
                      <a:ext cx="1559092" cy="1134312"/>
                    </a:xfrm>
                    <a:prstGeom prst="rect">
                      <a:avLst/>
                    </a:prstGeom>
                    <a:ln w="12700" cap="flat">
                      <a:noFill/>
                      <a:miter lim="400000"/>
                    </a:ln>
                    <a:effectLst/>
                  </pic:spPr>
                </pic:pic>
              </a:graphicData>
            </a:graphic>
          </wp:anchor>
        </w:drawing>
      </w:r>
      <w:r>
        <w:drawing xmlns:a="http://schemas.openxmlformats.org/drawingml/2006/main">
          <wp:anchor distT="152400" distB="152400" distL="152400" distR="152400" simplePos="0" relativeHeight="251666432" behindDoc="0" locked="0" layoutInCell="1" allowOverlap="1">
            <wp:simplePos x="0" y="0"/>
            <wp:positionH relativeFrom="page">
              <wp:posOffset>2916601</wp:posOffset>
            </wp:positionH>
            <wp:positionV relativeFrom="page">
              <wp:posOffset>1501938</wp:posOffset>
            </wp:positionV>
            <wp:extent cx="1134031" cy="1487364"/>
            <wp:effectExtent l="0" t="0" r="0" b="0"/>
            <wp:wrapTopAndBottom distT="152400" distB="152400"/>
            <wp:docPr id="1073741833" name="officeArt object" descr="IMG_1282.jpeg"/>
            <wp:cNvGraphicFramePr/>
            <a:graphic xmlns:a="http://schemas.openxmlformats.org/drawingml/2006/main">
              <a:graphicData uri="http://schemas.openxmlformats.org/drawingml/2006/picture">
                <pic:pic xmlns:pic="http://schemas.openxmlformats.org/drawingml/2006/picture">
                  <pic:nvPicPr>
                    <pic:cNvPr id="1073741833" name="IMG_1282.jpeg" descr="IMG_1282.jpeg"/>
                    <pic:cNvPicPr>
                      <a:picLocks noChangeAspect="1"/>
                    </pic:cNvPicPr>
                  </pic:nvPicPr>
                  <pic:blipFill>
                    <a:blip r:embed="rId11">
                      <a:extLst/>
                    </a:blip>
                    <a:srcRect l="2524" t="7226" r="8196" b="4951"/>
                    <a:stretch>
                      <a:fillRect/>
                    </a:stretch>
                  </pic:blipFill>
                  <pic:spPr>
                    <a:xfrm rot="5400000">
                      <a:off x="0" y="0"/>
                      <a:ext cx="1134031" cy="1487364"/>
                    </a:xfrm>
                    <a:prstGeom prst="rect">
                      <a:avLst/>
                    </a:prstGeom>
                    <a:ln w="12700" cap="flat">
                      <a:noFill/>
                      <a:miter lim="400000"/>
                    </a:ln>
                    <a:effectLst/>
                  </pic:spPr>
                </pic:pic>
              </a:graphicData>
            </a:graphic>
          </wp:anchor>
        </w:drawing>
      </w:r>
      <w:r>
        <w:rPr>
          <w:rtl w:val="0"/>
          <w:lang w:val="de-DE"/>
        </w:rPr>
        <w:t>stands mehrere einer Person zugeordnete Signaturen in einem Umschlag zusammengefasst, dem gelegentlich Zeitungsartikel aus Zeitungen des 19. Jahrhunderts zu deren Person beigelegt wurden. Bei einigen ber</w:t>
      </w:r>
      <w:r>
        <w:rPr>
          <w:rtl w:val="0"/>
          <w:lang w:val="de-DE"/>
        </w:rPr>
        <w:t>ü</w:t>
      </w:r>
      <w:r>
        <w:rPr>
          <w:rtl w:val="0"/>
          <w:lang w:val="de-DE"/>
        </w:rPr>
        <w:t>hmten Pers</w:t>
      </w:r>
      <w:r>
        <w:rPr>
          <w:rtl w:val="0"/>
          <w:lang w:val="de-DE"/>
        </w:rPr>
        <w:t>ö</w:t>
      </w:r>
      <w:r>
        <w:rPr>
          <w:rtl w:val="0"/>
          <w:lang w:val="de-DE"/>
        </w:rPr>
        <w:t>nlichkeiten gibt es ein kleines, nachtr</w:t>
      </w:r>
      <w:r>
        <w:rPr>
          <w:rtl w:val="0"/>
          <w:lang w:val="de-DE"/>
        </w:rPr>
        <w:t>ä</w:t>
      </w:r>
      <w:r>
        <w:rPr>
          <w:rtl w:val="0"/>
          <w:lang w:val="de-DE"/>
        </w:rPr>
        <w:t>glich hinzugef</w:t>
      </w:r>
      <w:r>
        <w:rPr>
          <w:rtl w:val="0"/>
          <w:lang w:val="de-DE"/>
        </w:rPr>
        <w:t>ü</w:t>
      </w:r>
      <w:r>
        <w:rPr>
          <w:rtl w:val="0"/>
          <w:lang w:val="de-DE"/>
        </w:rPr>
        <w:t xml:space="preserve">gtes Blatt mit einer Personenbeschreibung. </w:t>
      </w:r>
      <w:r>
        <w:tab/>
        <w:tab/>
        <w:tab/>
        <w:tab/>
        <w:tab/>
        <w:tab/>
        <w:tab/>
        <w:tab/>
        <w:tab/>
      </w:r>
      <w:r>
        <w:rPr>
          <w:rtl w:val="0"/>
          <w:lang w:val="de-DE"/>
        </w:rPr>
        <w:t>Die Briefe stammen ausnahmslos aus der Mitte des 18. Jahrhunderts bis Anfang des 19. Jahrhunderts. Die Ausnahme bildet ein Brief von Franz Egon Graf von F</w:t>
      </w:r>
      <w:r>
        <w:rPr>
          <w:rtl w:val="0"/>
          <w:lang w:val="de-DE"/>
        </w:rPr>
        <w:t>ü</w:t>
      </w:r>
      <w:r>
        <w:rPr>
          <w:rtl w:val="0"/>
          <w:lang w:val="de-DE"/>
        </w:rPr>
        <w:t>rstenberg-Heiligenberg, Bischof von Stra</w:t>
      </w:r>
      <w:r>
        <w:rPr>
          <w:rtl w:val="0"/>
          <w:lang w:val="de-DE"/>
        </w:rPr>
        <w:t>ß</w:t>
      </w:r>
      <w:r>
        <w:rPr>
          <w:rtl w:val="0"/>
          <w:lang w:val="de-DE"/>
        </w:rPr>
        <w:t>burg aus dem Jahr 1664.</w:t>
      </w:r>
    </w:p>
    <w:p>
      <w:pPr>
        <w:pStyle w:val="Text"/>
        <w:spacing w:line="360" w:lineRule="auto"/>
        <w:jc w:val="both"/>
      </w:pPr>
      <w:r>
        <w:rPr>
          <w:rtl w:val="0"/>
        </w:rPr>
        <w:tab/>
        <w:t xml:space="preserve">Etwa ein Viertel der Briefsammlung ist an Unbekannt gerichtet, ein weiteres Viertel steht im Zusammenhang mit Joachim Heinrich Campe, </w:t>
      </w:r>
      <w:r>
        <w:rPr>
          <w:u w:color="ff0000"/>
          <w:rtl w:val="0"/>
          <w:lang w:val="de-DE"/>
        </w:rPr>
        <w:t>dem Gr</w:t>
      </w:r>
      <w:r>
        <w:rPr>
          <w:u w:color="ff0000"/>
          <w:rtl w:val="0"/>
          <w:lang w:val="de-DE"/>
        </w:rPr>
        <w:t>ü</w:t>
      </w:r>
      <w:r>
        <w:rPr>
          <w:u w:color="ff0000"/>
          <w:rtl w:val="0"/>
          <w:lang w:val="de-DE"/>
        </w:rPr>
        <w:t>nder der Braunschweigischen Schulbuchhandlung und Schwiegervater des Verlagsgr</w:t>
      </w:r>
      <w:r>
        <w:rPr>
          <w:u w:color="ff0000"/>
          <w:rtl w:val="0"/>
          <w:lang w:val="de-DE"/>
        </w:rPr>
        <w:t>ü</w:t>
      </w:r>
      <w:r>
        <w:rPr>
          <w:u w:color="ff0000"/>
          <w:rtl w:val="0"/>
          <w:lang w:val="de-DE"/>
        </w:rPr>
        <w:t>nders Friedrich Vieweg</w:t>
      </w:r>
      <w:r>
        <w:rPr>
          <w:rtl w:val="0"/>
          <w:lang w:val="de-DE"/>
        </w:rPr>
        <w:t>. Ca. 180 Briefe sind aus der Fr</w:t>
      </w:r>
      <w:r>
        <w:rPr>
          <w:rtl w:val="0"/>
          <w:lang w:val="de-DE"/>
        </w:rPr>
        <w:t>ü</w:t>
      </w:r>
      <w:r>
        <w:rPr>
          <w:rtl w:val="0"/>
          <w:lang w:val="de-DE"/>
        </w:rPr>
        <w:t>hzeit der Verlagsgr</w:t>
      </w:r>
      <w:r>
        <w:rPr>
          <w:rtl w:val="0"/>
          <w:lang w:val="de-DE"/>
        </w:rPr>
        <w:t>ü</w:t>
      </w:r>
      <w:r>
        <w:rPr>
          <w:rtl w:val="0"/>
          <w:lang w:val="de-DE"/>
        </w:rPr>
        <w:t>ndung und stellen Gesch</w:t>
      </w:r>
      <w:r>
        <w:rPr>
          <w:rtl w:val="0"/>
          <w:lang w:val="de-DE"/>
        </w:rPr>
        <w:t>ä</w:t>
      </w:r>
      <w:r>
        <w:rPr>
          <w:rtl w:val="0"/>
          <w:lang w:val="de-DE"/>
        </w:rPr>
        <w:t>ftsbriefe dar. Die Signaturen sind zwei Sammlungssignaturen mit den Buchstaben V und VF untergeordnet. Dabei steht V f</w:t>
      </w:r>
      <w:r>
        <w:rPr>
          <w:rtl w:val="0"/>
          <w:lang w:val="de-DE"/>
        </w:rPr>
        <w:t>ü</w:t>
      </w:r>
      <w:r>
        <w:rPr>
          <w:rtl w:val="0"/>
          <w:lang w:val="de-DE"/>
        </w:rPr>
        <w:t>r Vieweg und VF f</w:t>
      </w:r>
      <w:r>
        <w:rPr>
          <w:rtl w:val="0"/>
          <w:lang w:val="de-DE"/>
        </w:rPr>
        <w:t>ü</w:t>
      </w:r>
      <w:r>
        <w:rPr>
          <w:rtl w:val="0"/>
          <w:lang w:val="nl-NL"/>
        </w:rPr>
        <w:t>r Vieweg F</w:t>
      </w:r>
      <w:r>
        <w:rPr>
          <w:rtl w:val="0"/>
          <w:lang w:val="de-DE"/>
        </w:rPr>
        <w:t>ü</w:t>
      </w:r>
      <w:r>
        <w:rPr>
          <w:rtl w:val="0"/>
          <w:lang w:val="de-DE"/>
        </w:rPr>
        <w:t>rsten. In die Vieweg F</w:t>
      </w:r>
      <w:r>
        <w:rPr>
          <w:rtl w:val="0"/>
          <w:lang w:val="de-DE"/>
        </w:rPr>
        <w:t>ü</w:t>
      </w:r>
      <w:r>
        <w:rPr>
          <w:rtl w:val="0"/>
          <w:lang w:val="de-DE"/>
        </w:rPr>
        <w:t>rsten-Sammlung sind knapp 50 Briefe adeliger Personen aufgenommen, darunter Friedrich II., K</w:t>
      </w:r>
      <w:r>
        <w:rPr>
          <w:rtl w:val="0"/>
          <w:lang w:val="de-DE"/>
        </w:rPr>
        <w:t>ö</w:t>
      </w:r>
      <w:r>
        <w:rPr>
          <w:rtl w:val="0"/>
          <w:lang w:val="de-DE"/>
        </w:rPr>
        <w:t>nig von Preu</w:t>
      </w:r>
      <w:r>
        <w:rPr>
          <w:rtl w:val="0"/>
          <w:lang w:val="de-DE"/>
        </w:rPr>
        <w:t>ß</w:t>
      </w:r>
      <w:r>
        <w:rPr>
          <w:rtl w:val="0"/>
          <w:lang w:val="de-DE"/>
        </w:rPr>
        <w:t>en oder Otto I., K</w:t>
      </w:r>
      <w:r>
        <w:rPr>
          <w:rtl w:val="0"/>
          <w:lang w:val="de-DE"/>
        </w:rPr>
        <w:t>ö</w:t>
      </w:r>
      <w:r>
        <w:rPr>
          <w:rtl w:val="0"/>
          <w:lang w:val="de-DE"/>
        </w:rPr>
        <w:t xml:space="preserve">nig von Griechenland. </w:t>
      </w:r>
    </w:p>
    <w:p>
      <w:pPr>
        <w:pStyle w:val="Text"/>
        <w:spacing w:line="360" w:lineRule="auto"/>
        <w:jc w:val="both"/>
      </w:pPr>
      <w:r>
        <w:rPr>
          <w:rtl w:val="0"/>
          <w:lang w:val="de-DE"/>
        </w:rPr>
        <w:t>Allgemein handelt es sich um mehr Gesch</w:t>
      </w:r>
      <w:r>
        <w:rPr>
          <w:rtl w:val="0"/>
          <w:lang w:val="de-DE"/>
        </w:rPr>
        <w:t>ä</w:t>
      </w:r>
      <w:r>
        <w:rPr>
          <w:rtl w:val="0"/>
          <w:lang w:val="de-DE"/>
        </w:rPr>
        <w:t xml:space="preserve">fts- als Privatkorrespondenz. </w:t>
      </w:r>
      <w:r>
        <w:rPr>
          <w:rtl w:val="0"/>
          <w:lang w:val="de-DE"/>
        </w:rPr>
        <w:t>Ü</w:t>
      </w:r>
      <w:r>
        <w:rPr>
          <w:rtl w:val="0"/>
          <w:lang w:val="de-DE"/>
        </w:rPr>
        <w:t xml:space="preserve">berdies befinden sich in der Sammlung unter anderem 7 Briefe von Schiller und 21 Briefe von Lessing. </w:t>
      </w:r>
    </w:p>
    <w:p>
      <w:pPr>
        <w:pStyle w:val="Text"/>
        <w:spacing w:line="360" w:lineRule="auto"/>
        <w:ind w:firstLine="720"/>
        <w:jc w:val="both"/>
      </w:pPr>
      <w:r>
        <w:rPr>
          <w:rtl w:val="0"/>
          <w:lang w:val="de-DE"/>
        </w:rPr>
        <w:t>Zu weiteren ber</w:t>
      </w:r>
      <w:r>
        <w:rPr>
          <w:rtl w:val="0"/>
          <w:lang w:val="de-DE"/>
        </w:rPr>
        <w:t>ü</w:t>
      </w:r>
      <w:r>
        <w:rPr>
          <w:rtl w:val="0"/>
          <w:lang w:val="de-DE"/>
        </w:rPr>
        <w:t>hmten Personen geh</w:t>
      </w:r>
      <w:r>
        <w:rPr>
          <w:rtl w:val="0"/>
          <w:lang w:val="de-DE"/>
        </w:rPr>
        <w:t>ö</w:t>
      </w:r>
      <w:r>
        <w:rPr>
          <w:rtl w:val="0"/>
          <w:lang w:val="de-DE"/>
        </w:rPr>
        <w:t>ren Johann Gottfried von Herder, Martin van Buren, Charles Dickens, Nicolo Paganini, Hans Christian Andersen, Richard Wagner, Immanuel Kant, Alexander von Humboldt, Willem Bilderdijk, Ludwig van Beethoven, oder Josef Wenzel Radetzky. Dass es sich um keine systemati</w:t>
      </w:r>
      <w:r>
        <w:drawing xmlns:a="http://schemas.openxmlformats.org/drawingml/2006/main">
          <wp:anchor distT="152400" distB="152400" distL="152400" distR="152400" simplePos="0" relativeHeight="251667456" behindDoc="0" locked="0" layoutInCell="1" allowOverlap="1">
            <wp:simplePos x="0" y="0"/>
            <wp:positionH relativeFrom="page">
              <wp:posOffset>765131</wp:posOffset>
            </wp:positionH>
            <wp:positionV relativeFrom="page">
              <wp:posOffset>9178042</wp:posOffset>
            </wp:positionV>
            <wp:extent cx="1361731" cy="1063194"/>
            <wp:effectExtent l="0" t="0" r="0" b="0"/>
            <wp:wrapTopAndBottom distT="152400" distB="152400"/>
            <wp:docPr id="1073741834" name="officeArt object" descr="ydq9b.jpeg"/>
            <wp:cNvGraphicFramePr/>
            <a:graphic xmlns:a="http://schemas.openxmlformats.org/drawingml/2006/main">
              <a:graphicData uri="http://schemas.openxmlformats.org/drawingml/2006/picture">
                <pic:pic xmlns:pic="http://schemas.openxmlformats.org/drawingml/2006/picture">
                  <pic:nvPicPr>
                    <pic:cNvPr id="1073741834" name="ydq9b.jpeg" descr="ydq9b.jpeg"/>
                    <pic:cNvPicPr>
                      <a:picLocks noChangeAspect="1"/>
                    </pic:cNvPicPr>
                  </pic:nvPicPr>
                  <pic:blipFill>
                    <a:blip r:embed="rId12">
                      <a:extLst/>
                    </a:blip>
                    <a:srcRect l="17129" t="11062" r="17129" b="20500"/>
                    <a:stretch>
                      <a:fillRect/>
                    </a:stretch>
                  </pic:blipFill>
                  <pic:spPr>
                    <a:xfrm rot="16200000">
                      <a:off x="0" y="0"/>
                      <a:ext cx="1361731" cy="1063194"/>
                    </a:xfrm>
                    <a:prstGeom prst="rect">
                      <a:avLst/>
                    </a:prstGeom>
                    <a:ln w="12700" cap="flat">
                      <a:noFill/>
                      <a:miter lim="400000"/>
                    </a:ln>
                    <a:effectLst/>
                  </pic:spPr>
                </pic:pic>
              </a:graphicData>
            </a:graphic>
          </wp:anchor>
        </w:drawing>
      </w:r>
      <w:r>
        <w:drawing xmlns:a="http://schemas.openxmlformats.org/drawingml/2006/main">
          <wp:anchor distT="152400" distB="152400" distL="152400" distR="152400" simplePos="0" relativeHeight="251668480" behindDoc="0" locked="0" layoutInCell="1" allowOverlap="1">
            <wp:simplePos x="0" y="0"/>
            <wp:positionH relativeFrom="page">
              <wp:posOffset>655865</wp:posOffset>
            </wp:positionH>
            <wp:positionV relativeFrom="page">
              <wp:posOffset>586869</wp:posOffset>
            </wp:positionV>
            <wp:extent cx="1663841" cy="1146771"/>
            <wp:effectExtent l="0" t="0" r="0" b="0"/>
            <wp:wrapTopAndBottom distT="152400" distB="152400"/>
            <wp:docPr id="1073741835" name="officeArt object" descr="IMG_1292.jpeg"/>
            <wp:cNvGraphicFramePr/>
            <a:graphic xmlns:a="http://schemas.openxmlformats.org/drawingml/2006/main">
              <a:graphicData uri="http://schemas.openxmlformats.org/drawingml/2006/picture">
                <pic:pic xmlns:pic="http://schemas.openxmlformats.org/drawingml/2006/picture">
                  <pic:nvPicPr>
                    <pic:cNvPr id="1073741835" name="IMG_1292.jpeg" descr="IMG_1292.jpeg"/>
                    <pic:cNvPicPr>
                      <a:picLocks noChangeAspect="1"/>
                    </pic:cNvPicPr>
                  </pic:nvPicPr>
                  <pic:blipFill>
                    <a:blip r:embed="rId13">
                      <a:extLst/>
                    </a:blip>
                    <a:srcRect l="0" t="3820" r="1404" b="5572"/>
                    <a:stretch>
                      <a:fillRect/>
                    </a:stretch>
                  </pic:blipFill>
                  <pic:spPr>
                    <a:xfrm rot="16200000">
                      <a:off x="0" y="0"/>
                      <a:ext cx="1663841" cy="1146771"/>
                    </a:xfrm>
                    <a:prstGeom prst="rect">
                      <a:avLst/>
                    </a:prstGeom>
                    <a:ln w="12700" cap="flat">
                      <a:noFill/>
                      <a:miter lim="400000"/>
                    </a:ln>
                    <a:effectLst/>
                  </pic:spPr>
                </pic:pic>
              </a:graphicData>
            </a:graphic>
          </wp:anchor>
        </w:drawing>
      </w:r>
      <w:r>
        <w:rPr>
          <w:rtl w:val="0"/>
          <w:lang w:val="de-DE"/>
        </w:rPr>
        <w:t>sche Sammlung oder vollst</w:t>
      </w:r>
      <w:r>
        <w:rPr>
          <w:rtl w:val="0"/>
          <w:lang w:val="de-DE"/>
        </w:rPr>
        <w:t>ä</w:t>
      </w:r>
      <w:r>
        <w:rPr>
          <w:rtl w:val="0"/>
          <w:lang w:val="de-DE"/>
        </w:rPr>
        <w:t xml:space="preserve">ndige Sammlung einzelner Korrespondenzen handelt, zeigt die namhafte Vielfalt der Autographen. </w:t>
      </w:r>
    </w:p>
    <w:p>
      <w:pPr>
        <w:pStyle w:val="Text"/>
        <w:spacing w:line="360" w:lineRule="auto"/>
        <w:jc w:val="both"/>
      </w:pPr>
    </w:p>
    <w:p>
      <w:pPr>
        <w:pStyle w:val="Text"/>
        <w:spacing w:line="360" w:lineRule="auto"/>
        <w:jc w:val="both"/>
        <w:rPr>
          <w:b w:val="1"/>
          <w:bCs w:val="1"/>
        </w:rPr>
      </w:pPr>
      <w:r>
        <w:rPr>
          <w:b w:val="1"/>
          <w:bCs w:val="1"/>
          <w:rtl w:val="0"/>
          <w:lang w:val="de-DE"/>
        </w:rPr>
        <w:t>Erschlie</w:t>
      </w:r>
      <w:r>
        <w:rPr>
          <w:b w:val="1"/>
          <w:bCs w:val="1"/>
          <w:rtl w:val="0"/>
          <w:lang w:val="de-DE"/>
        </w:rPr>
        <w:t>ß</w:t>
      </w:r>
      <w:r>
        <w:rPr>
          <w:b w:val="1"/>
          <w:bCs w:val="1"/>
          <w:rtl w:val="0"/>
          <w:lang w:val="de-DE"/>
        </w:rPr>
        <w:t>ungsprobleme</w:t>
      </w:r>
    </w:p>
    <w:p>
      <w:pPr>
        <w:pStyle w:val="Text"/>
        <w:spacing w:line="360" w:lineRule="auto"/>
        <w:jc w:val="both"/>
      </w:pPr>
    </w:p>
    <w:p>
      <w:pPr>
        <w:pStyle w:val="Text"/>
        <w:spacing w:line="360" w:lineRule="auto"/>
        <w:jc w:val="both"/>
      </w:pPr>
      <w:r>
        <w:rPr>
          <w:rtl w:val="0"/>
          <w:lang w:val="de-DE"/>
        </w:rPr>
        <w:t>W</w:t>
      </w:r>
      <w:r>
        <w:rPr>
          <w:rtl w:val="0"/>
          <w:lang w:val="de-DE"/>
        </w:rPr>
        <w:t>ä</w:t>
      </w:r>
      <w:r>
        <w:rPr>
          <w:rtl w:val="0"/>
          <w:lang w:val="de-DE"/>
        </w:rPr>
        <w:t>hrend des Vergleichs des Bestands auf Grundlage des vorhandenen Findbuchs mit den Eintr</w:t>
      </w:r>
      <w:r>
        <w:rPr>
          <w:rtl w:val="0"/>
          <w:lang w:val="de-DE"/>
        </w:rPr>
        <w:t>ä</w:t>
      </w:r>
      <w:r>
        <w:rPr>
          <w:rtl w:val="0"/>
          <w:lang w:val="de-DE"/>
        </w:rPr>
        <w:t>gen im Onlineportal Kalliope fielen etliche Abweichungen auf. Dies waren zum Beispiel eine nicht immer korrekte Signaturverzeichnung, da es Abweichungen zwischen den Eintr</w:t>
      </w:r>
      <w:r>
        <w:rPr>
          <w:rtl w:val="0"/>
          <w:lang w:val="de-DE"/>
        </w:rPr>
        <w:t>ä</w:t>
      </w:r>
      <w:r>
        <w:rPr>
          <w:rtl w:val="0"/>
          <w:lang w:val="de-DE"/>
        </w:rPr>
        <w:t>gen im Findbuch und Kalliope gibt, oder der Fall, dass mehrere Klopstock-Briefe unter einem anderen Namen verzeichnet sind. Des Weiteren gibt es gelegentlich keine eindeutige, etwa durch eine Unterschrift erfolgte, Zuordnung eines Briefes zu einer Person.</w:t>
      </w:r>
    </w:p>
    <w:p>
      <w:pPr>
        <w:pStyle w:val="Text"/>
        <w:spacing w:line="360" w:lineRule="auto"/>
        <w:jc w:val="both"/>
      </w:pPr>
      <w:r>
        <w:rPr>
          <w:rtl w:val="0"/>
        </w:rPr>
        <w:tab/>
        <w:t>Dar</w:t>
      </w:r>
      <w:r>
        <w:rPr>
          <w:rtl w:val="0"/>
          <w:lang w:val="de-DE"/>
        </w:rPr>
        <w:t>ü</w:t>
      </w:r>
      <w:r>
        <w:rPr>
          <w:rtl w:val="0"/>
          <w:lang w:val="de-DE"/>
        </w:rPr>
        <w:t>ber hinaus wurde festgestellt, dass nicht alle Briefe ersichtlich mit Vieweg zu tun haben, was vor allem die Vieweg F</w:t>
      </w:r>
      <w:r>
        <w:rPr>
          <w:rtl w:val="0"/>
          <w:lang w:val="de-DE"/>
        </w:rPr>
        <w:t>ü</w:t>
      </w:r>
      <w:r>
        <w:rPr>
          <w:rtl w:val="0"/>
          <w:lang w:val="de-DE"/>
        </w:rPr>
        <w:t>rsten-Sammlung betrifft. Dies warf die Frage auf, wer was unter welchen Gesichtspunkten gesammelt hat. So sind zum Beispiel von einigen bekannten Pers</w:t>
      </w:r>
      <w:r>
        <w:rPr>
          <w:rtl w:val="0"/>
          <w:lang w:val="de-DE"/>
        </w:rPr>
        <w:t>ö</w:t>
      </w:r>
      <w:r>
        <w:rPr>
          <w:rtl w:val="0"/>
          <w:lang w:val="de-DE"/>
        </w:rPr>
        <w:t xml:space="preserve">nlichkeiten, wie Charles Dickens </w:t>
      </w:r>
    </w:p>
    <w:p>
      <w:pPr>
        <w:pStyle w:val="Text"/>
        <w:spacing w:line="360" w:lineRule="auto"/>
        <w:jc w:val="both"/>
      </w:pPr>
      <w:r>
        <w:rPr>
          <w:rtl w:val="0"/>
          <w:lang w:val="de-DE"/>
        </w:rPr>
        <w:t>und Arthur Wellington, nur die Briefumschl</w:t>
      </w:r>
      <w:r>
        <w:rPr>
          <w:rtl w:val="0"/>
          <w:lang w:val="de-DE"/>
        </w:rPr>
        <w:t>ä</w:t>
      </w:r>
      <w:r>
        <w:rPr>
          <w:rtl w:val="0"/>
          <w:lang w:val="de-DE"/>
        </w:rPr>
        <w:t>ge vorhanden, nicht aber ihr Inhalt. Insgesamt war keine eindeutige Sammlungsstruktur erkennbar.</w:t>
      </w:r>
    </w:p>
    <w:p>
      <w:pPr>
        <w:pStyle w:val="Text"/>
        <w:spacing w:line="360" w:lineRule="auto"/>
        <w:jc w:val="both"/>
      </w:pPr>
    </w:p>
    <w:p>
      <w:pPr>
        <w:pStyle w:val="Text"/>
        <w:spacing w:line="360" w:lineRule="auto"/>
        <w:jc w:val="both"/>
        <w:rPr>
          <w:b w:val="1"/>
          <w:bCs w:val="1"/>
        </w:rPr>
      </w:pPr>
      <w:r>
        <w:rPr>
          <w:b w:val="1"/>
          <w:bCs w:val="1"/>
          <w:rtl w:val="0"/>
          <w:lang w:val="de-DE"/>
        </w:rPr>
        <w:t>Aufgaben der HAB und m</w:t>
      </w:r>
      <w:r>
        <w:rPr>
          <w:b w:val="1"/>
          <w:bCs w:val="1"/>
          <w:rtl w:val="0"/>
          <w:lang w:val="de-DE"/>
        </w:rPr>
        <w:t>ö</w:t>
      </w:r>
      <w:r>
        <w:rPr>
          <w:b w:val="1"/>
          <w:bCs w:val="1"/>
          <w:rtl w:val="0"/>
          <w:lang w:val="de-DE"/>
        </w:rPr>
        <w:t>gliche Forschungsfragen</w:t>
      </w:r>
    </w:p>
    <w:p>
      <w:pPr>
        <w:pStyle w:val="Text"/>
        <w:spacing w:line="360" w:lineRule="auto"/>
        <w:jc w:val="both"/>
      </w:pPr>
    </w:p>
    <w:p>
      <w:pPr>
        <w:pStyle w:val="Text"/>
        <w:spacing w:line="360" w:lineRule="auto"/>
        <w:jc w:val="both"/>
      </w:pPr>
      <w:r>
        <w:rPr>
          <w:rtl w:val="0"/>
          <w:lang w:val="de-DE"/>
        </w:rPr>
        <w:t>Eine erste Notwendigkeit ergibt sich aus den divergierenden Eintr</w:t>
      </w:r>
      <w:r>
        <w:rPr>
          <w:rtl w:val="0"/>
          <w:lang w:val="de-DE"/>
        </w:rPr>
        <w:t>ä</w:t>
      </w:r>
      <w:r>
        <w:rPr>
          <w:rtl w:val="0"/>
          <w:lang w:val="de-DE"/>
        </w:rPr>
        <w:t>gen in den verschiedenen Systemen. Eine autoptische Korrektur der Datens</w:t>
      </w:r>
      <w:r>
        <w:rPr>
          <w:rtl w:val="0"/>
          <w:lang w:val="de-DE"/>
        </w:rPr>
        <w:t>ä</w:t>
      </w:r>
      <w:r>
        <w:rPr>
          <w:rtl w:val="0"/>
          <w:lang w:val="de-DE"/>
        </w:rPr>
        <w:t>tze in Kalliope w</w:t>
      </w:r>
      <w:r>
        <w:rPr>
          <w:rtl w:val="0"/>
          <w:lang w:val="de-DE"/>
        </w:rPr>
        <w:t>ä</w:t>
      </w:r>
      <w:r>
        <w:rPr>
          <w:rtl w:val="0"/>
          <w:lang w:val="de-DE"/>
        </w:rPr>
        <w:t>re dabei sicher am sinnvollsten und f</w:t>
      </w:r>
      <w:r>
        <w:rPr>
          <w:rtl w:val="0"/>
          <w:lang w:val="de-DE"/>
        </w:rPr>
        <w:t>ü</w:t>
      </w:r>
      <w:r>
        <w:rPr>
          <w:rtl w:val="0"/>
          <w:lang w:val="de-DE"/>
        </w:rPr>
        <w:t>r die Nutzer am gewinnbringendsten. Eine sukzessive Digitalisierung des gesamten Bestands und die Einarbeitung in den elektronischen Handschriftenkatalog sollte sich daran anschlie</w:t>
      </w:r>
      <w:r>
        <w:rPr>
          <w:rtl w:val="0"/>
          <w:lang w:val="de-DE"/>
        </w:rPr>
        <w:t>ß</w:t>
      </w:r>
      <w:r>
        <w:rPr>
          <w:rtl w:val="0"/>
        </w:rPr>
        <w:t xml:space="preserve">en. </w:t>
      </w:r>
    </w:p>
    <w:p>
      <w:pPr>
        <w:pStyle w:val="Text"/>
        <w:spacing w:line="360" w:lineRule="auto"/>
        <w:jc w:val="both"/>
        <w:rPr>
          <w:lang w:val="de-DE"/>
        </w:rPr>
      </w:pPr>
      <w:r>
        <w:rPr>
          <w:rtl w:val="0"/>
          <w:lang w:val="de-DE"/>
        </w:rPr>
        <w:t>Inwiefern der Bestand von der bisherigen Forschung wahrge</w:t>
      </w:r>
      <w:r>
        <w:drawing xmlns:a="http://schemas.openxmlformats.org/drawingml/2006/main">
          <wp:anchor distT="152400" distB="152400" distL="152400" distR="152400" simplePos="0" relativeHeight="251669504" behindDoc="0" locked="0" layoutInCell="1" allowOverlap="1">
            <wp:simplePos x="0" y="0"/>
            <wp:positionH relativeFrom="page">
              <wp:posOffset>2039397</wp:posOffset>
            </wp:positionH>
            <wp:positionV relativeFrom="page">
              <wp:posOffset>3388060</wp:posOffset>
            </wp:positionV>
            <wp:extent cx="1106419" cy="1357933"/>
            <wp:effectExtent l="0" t="0" r="0" b="0"/>
            <wp:wrapTopAndBottom distT="152400" distB="152400"/>
            <wp:docPr id="1073741836" name="officeArt object" descr="IMG_1324.jpeg"/>
            <wp:cNvGraphicFramePr/>
            <a:graphic xmlns:a="http://schemas.openxmlformats.org/drawingml/2006/main">
              <a:graphicData uri="http://schemas.openxmlformats.org/drawingml/2006/picture">
                <pic:pic xmlns:pic="http://schemas.openxmlformats.org/drawingml/2006/picture">
                  <pic:nvPicPr>
                    <pic:cNvPr id="1073741836" name="IMG_1324.jpeg" descr="IMG_1324.jpeg"/>
                    <pic:cNvPicPr>
                      <a:picLocks noChangeAspect="1"/>
                    </pic:cNvPicPr>
                  </pic:nvPicPr>
                  <pic:blipFill>
                    <a:blip r:embed="rId14">
                      <a:extLst/>
                    </a:blip>
                    <a:srcRect l="0" t="7950" r="0" b="0"/>
                    <a:stretch>
                      <a:fillRect/>
                    </a:stretch>
                  </pic:blipFill>
                  <pic:spPr>
                    <a:xfrm rot="5400000">
                      <a:off x="0" y="0"/>
                      <a:ext cx="1106419" cy="1357933"/>
                    </a:xfrm>
                    <a:prstGeom prst="rect">
                      <a:avLst/>
                    </a:prstGeom>
                    <a:ln w="12700" cap="flat">
                      <a:noFill/>
                      <a:miter lim="400000"/>
                    </a:ln>
                    <a:effectLst/>
                  </pic:spPr>
                </pic:pic>
              </a:graphicData>
            </a:graphic>
          </wp:anchor>
        </w:drawing>
      </w:r>
      <w:r>
        <w:drawing xmlns:a="http://schemas.openxmlformats.org/drawingml/2006/main">
          <wp:anchor distT="152400" distB="152400" distL="152400" distR="152400" simplePos="0" relativeHeight="251670528" behindDoc="0" locked="0" layoutInCell="1" allowOverlap="1">
            <wp:simplePos x="0" y="0"/>
            <wp:positionH relativeFrom="page">
              <wp:posOffset>914400</wp:posOffset>
            </wp:positionH>
            <wp:positionV relativeFrom="page">
              <wp:posOffset>3513817</wp:posOffset>
            </wp:positionV>
            <wp:extent cx="770643" cy="1106366"/>
            <wp:effectExtent l="0" t="0" r="0" b="0"/>
            <wp:wrapTopAndBottom distT="152400" distB="152400"/>
            <wp:docPr id="1073741837" name="officeArt object" descr="IMG_1323.jpeg"/>
            <wp:cNvGraphicFramePr/>
            <a:graphic xmlns:a="http://schemas.openxmlformats.org/drawingml/2006/main">
              <a:graphicData uri="http://schemas.openxmlformats.org/drawingml/2006/picture">
                <pic:pic xmlns:pic="http://schemas.openxmlformats.org/drawingml/2006/picture">
                  <pic:nvPicPr>
                    <pic:cNvPr id="1073741837" name="IMG_1323.jpeg" descr="IMG_1323.jpeg"/>
                    <pic:cNvPicPr>
                      <a:picLocks noChangeAspect="1"/>
                    </pic:cNvPicPr>
                  </pic:nvPicPr>
                  <pic:blipFill>
                    <a:blip r:embed="rId15">
                      <a:extLst/>
                    </a:blip>
                    <a:srcRect l="13613" t="5669" r="13613" b="15973"/>
                    <a:stretch>
                      <a:fillRect/>
                    </a:stretch>
                  </pic:blipFill>
                  <pic:spPr>
                    <a:xfrm>
                      <a:off x="0" y="0"/>
                      <a:ext cx="770643" cy="1106366"/>
                    </a:xfrm>
                    <a:prstGeom prst="rect">
                      <a:avLst/>
                    </a:prstGeom>
                    <a:ln w="12700" cap="flat">
                      <a:noFill/>
                      <a:miter lim="400000"/>
                    </a:ln>
                    <a:effectLst/>
                  </pic:spPr>
                </pic:pic>
              </a:graphicData>
            </a:graphic>
          </wp:anchor>
        </w:drawing>
      </w:r>
      <w:r>
        <w:rPr>
          <w:rtl w:val="0"/>
          <w:lang w:val="de-DE"/>
        </w:rPr>
        <w:t>nommen wurde, m</w:t>
      </w:r>
      <w:r>
        <w:rPr>
          <w:rtl w:val="0"/>
          <w:lang w:val="de-DE"/>
        </w:rPr>
        <w:t>ü</w:t>
      </w:r>
      <w:r>
        <w:rPr>
          <w:rtl w:val="0"/>
          <w:lang w:val="de-DE"/>
        </w:rPr>
        <w:t>sste in einem weiteren Schritt gepr</w:t>
      </w:r>
      <w:r>
        <w:rPr>
          <w:rtl w:val="0"/>
          <w:lang w:val="de-DE"/>
        </w:rPr>
        <w:t>ü</w:t>
      </w:r>
      <w:r>
        <w:rPr>
          <w:rtl w:val="0"/>
          <w:lang w:val="de-DE"/>
        </w:rPr>
        <w:t xml:space="preserve">ft werden. Der Campe-Briefwechsel beispielsweise wurde bereits Mitte des 19. Jahrhunderts publiziert </w:t>
      </w:r>
      <w:r>
        <w:rPr>
          <w:outline w:val="0"/>
          <w:color w:val="c0504d"/>
          <w:rtl w:val="0"/>
          <w:lang w:val="de-DE"/>
          <w14:textFill>
            <w14:solidFill>
              <w14:srgbClr w14:val="C0504D"/>
            </w14:solidFill>
          </w14:textFill>
        </w:rPr>
        <w:t>[bibliographische Angabe]</w:t>
      </w:r>
      <w:r>
        <w:rPr>
          <w:rtl w:val="0"/>
          <w:lang w:val="de-DE"/>
        </w:rPr>
        <w:t xml:space="preserve">. Eine Recherche zum Handexemplar der </w:t>
      </w:r>
      <w:r>
        <w:rPr>
          <w:rtl w:val="0"/>
          <w:lang w:val="de-DE"/>
        </w:rPr>
        <w:t>“</w:t>
      </w:r>
      <w:r>
        <w:rPr>
          <w:rtl w:val="0"/>
          <w:lang w:val="de-DE"/>
        </w:rPr>
        <w:t>Katzenbergers Badereise</w:t>
      </w:r>
      <w:r>
        <w:rPr>
          <w:rtl w:val="0"/>
          <w:lang w:val="de-DE"/>
        </w:rPr>
        <w:t xml:space="preserve">” </w:t>
      </w:r>
    </w:p>
    <w:p>
      <w:pPr>
        <w:pStyle w:val="Text"/>
        <w:spacing w:line="360" w:lineRule="auto"/>
        <w:jc w:val="both"/>
      </w:pPr>
      <w:r>
        <w:rPr>
          <w:rtl w:val="0"/>
        </w:rPr>
        <w:t>l</w:t>
      </w:r>
      <w:r>
        <w:rPr>
          <w:rtl w:val="0"/>
          <w:lang w:val="de-DE"/>
        </w:rPr>
        <w:t>ä</w:t>
      </w:r>
      <w:r>
        <w:rPr>
          <w:rtl w:val="0"/>
          <w:lang w:val="de-DE"/>
        </w:rPr>
        <w:t xml:space="preserve">sst vermuten, dass die Jean-Paul-Forschung dieses bisher nicht zur Kenntnis genommen hat </w:t>
      </w:r>
      <w:r>
        <w:rPr>
          <w:outline w:val="0"/>
          <w:color w:val="c0504d"/>
          <w:rtl w:val="0"/>
          <w:lang w:val="de-DE"/>
          <w14:textFill>
            <w14:solidFill>
              <w14:srgbClr w14:val="C0504D"/>
            </w14:solidFill>
          </w14:textFill>
        </w:rPr>
        <w:t xml:space="preserve">[Jean Paul Ausgabe </w:t>
      </w:r>
      <w:r>
        <w:rPr>
          <w:outline w:val="0"/>
          <w:color w:val="c0504d"/>
          <w:rtl w:val="0"/>
          <w:lang w:val="de-DE"/>
          <w14:textFill>
            <w14:solidFill>
              <w14:srgbClr w14:val="C0504D"/>
            </w14:solidFill>
          </w14:textFill>
        </w:rPr>
        <w:t>ü</w:t>
      </w:r>
      <w:r>
        <w:rPr>
          <w:outline w:val="0"/>
          <w:color w:val="c0504d"/>
          <w:rtl w:val="0"/>
          <w14:textFill>
            <w14:solidFill>
              <w14:srgbClr w14:val="C0504D"/>
            </w14:solidFill>
          </w14:textFill>
        </w:rPr>
        <w:t>berpr</w:t>
      </w:r>
      <w:r>
        <w:rPr>
          <w:outline w:val="0"/>
          <w:color w:val="c0504d"/>
          <w:rtl w:val="0"/>
          <w:lang w:val="de-DE"/>
          <w14:textFill>
            <w14:solidFill>
              <w14:srgbClr w14:val="C0504D"/>
            </w14:solidFill>
          </w14:textFill>
        </w:rPr>
        <w:t>ü</w:t>
      </w:r>
      <w:r>
        <w:rPr>
          <w:outline w:val="0"/>
          <w:color w:val="c0504d"/>
          <w:rtl w:val="0"/>
          <w:lang w:val="pt-PT"/>
          <w14:textFill>
            <w14:solidFill>
              <w14:srgbClr w14:val="C0504D"/>
            </w14:solidFill>
          </w14:textFill>
        </w:rPr>
        <w:t>fen]</w:t>
      </w:r>
      <w:r>
        <w:rPr>
          <w:rtl w:val="0"/>
          <w:lang w:val="de-DE"/>
        </w:rPr>
        <w:t>. Eine j</w:t>
      </w:r>
      <w:r>
        <w:rPr>
          <w:rtl w:val="0"/>
          <w:lang w:val="de-DE"/>
        </w:rPr>
        <w:t>ü</w:t>
      </w:r>
      <w:r>
        <w:rPr>
          <w:rtl w:val="0"/>
          <w:lang w:val="de-DE"/>
        </w:rPr>
        <w:t xml:space="preserve">ngere Publikation zur Genese der zweiten Auflage verzeichnet dieses Exemplar nicht </w:t>
      </w:r>
      <w:r>
        <w:rPr>
          <w:outline w:val="0"/>
          <w:color w:val="c0504d"/>
          <w:rtl w:val="0"/>
          <w:lang w:val="de-DE"/>
          <w14:textFill>
            <w14:solidFill>
              <w14:srgbClr w14:val="C0504D"/>
            </w14:solidFill>
          </w14:textFill>
        </w:rPr>
        <w:t>[bibliographische Angabe]</w:t>
      </w:r>
      <w:r>
        <w:rPr>
          <w:rtl w:val="0"/>
        </w:rPr>
        <w:t xml:space="preserve">.   </w:t>
      </w:r>
    </w:p>
    <w:p>
      <w:pPr>
        <w:pStyle w:val="Text"/>
        <w:spacing w:line="360" w:lineRule="auto"/>
        <w:jc w:val="both"/>
      </w:pPr>
      <w:r/>
    </w:p>
    <w:sectPr>
      <w:headerReference w:type="default" r:id="rId16"/>
      <w:footerReference w:type="default" r:id="rId17"/>
      <w:pgSz w:w="11900" w:h="16840" w:orient="portrait"/>
      <w:pgMar w:top="1077" w:right="1440" w:bottom="1077" w:left="1440" w:header="720" w:footer="720"/>
      <w:pgNumType w:start="1"/>
      <w:bidi w:val="0"/>
    </w:sectPr>
  </w:body>
</w:document>
</file>

<file path=word/fontTable.xml><?xml version="1.0" encoding="utf-8"?>
<w:fonts xmlns:w="http://schemas.openxmlformats.org/wordprocessingml/2006/main">
  <w:font w:name="Times New Roman">
    <w:charset w:val="00"/>
    <w:family w:val="roman"/>
    <w:pitch w:val="variable"/>
  </w:font>
  <w:font w:name="Symbol">
    <w:charset w:val="02"/>
    <w:family w:val="roman"/>
    <w:pitch w:val="variable"/>
  </w:font>
  <w:font w:name="Arial">
    <w:charset w:val="00"/>
    <w:family w:val="swiss"/>
    <w:pitch w:val="variable"/>
  </w:font>
  <w:font w:name="Arial Unicode MS">
    <w:charset w:val="00"/>
    <w:family w:val="roman"/>
    <w:pitch w:val="default"/>
  </w:font>
</w:fonts>
</file>

<file path=word/footer1.xml><?xml version="1.0" encoding="utf-8"?>
<w:ftr xmlns:r="http://schemas.openxmlformats.org/officeDocument/2006/relationships" xmlns:wp="http://schemas.openxmlformats.org/drawingml/2006/wordprocessingDrawing" xmlns:w="http://schemas.openxmlformats.org/wordprocessingml/2006/main" xmlns:w10="urn:schemas-microsoft-com:office:word" xmlns:w14="http://schemas.microsoft.com/office/word/2010/wordml" xmlns:wps="http://schemas.microsoft.com/office/word/2010/wordprocessingShape" xmlns:wpg="http://schemas.microsoft.com/office/word/2010/wordprocessingGroup" xmlns:mc="http://schemas.openxmlformats.org/markup-compatibility/2006" xmlns:v="urn:schemas-microsoft-com:vml" xmlns:o="urn:schemas-microsoft-com:office:office" xmlns:m="http://schemas.openxmlformats.org/officeDocument/2006/math" mc:Ignorable="w14">
  <w:p>
    <w:pPr>
      <w:pStyle w:val="Kopf- und Fußzeilen"/>
      <w:bidi w:val="0"/>
    </w:pPr>
    <w:r/>
  </w:p>
</w:ftr>
</file>

<file path=word/header1.xml><?xml version="1.0" encoding="utf-8"?>
<w:hdr xmlns:r="http://schemas.openxmlformats.org/officeDocument/2006/relationships" xmlns:wp="http://schemas.openxmlformats.org/drawingml/2006/wordprocessingDrawing" xmlns:w="http://schemas.openxmlformats.org/wordprocessingml/2006/main" xmlns:w10="urn:schemas-microsoft-com:office:word" xmlns:w14="http://schemas.microsoft.com/office/word/2010/wordml" xmlns:wps="http://schemas.microsoft.com/office/word/2010/wordprocessingShape" xmlns:wpg="http://schemas.microsoft.com/office/word/2010/wordprocessingGroup" xmlns:mc="http://schemas.openxmlformats.org/markup-compatibility/2006" xmlns:v="urn:schemas-microsoft-com:vml" xmlns:o="urn:schemas-microsoft-com:office:office" xmlns:m="http://schemas.openxmlformats.org/officeDocument/2006/math" mc:Ignorable="w14">
  <w:p>
    <w:pPr>
      <w:pStyle w:val="Kopf- und Fußzeilen"/>
      <w:bidi w:val="0"/>
    </w:pPr>
    <w:r>
      <mc:AlternateContent>
        <mc:Choice Requires="wps">
          <w:drawing xmlns:a="http://schemas.openxmlformats.org/drawingml/2006/main">
            <wp:anchor distT="152400" distB="152400" distL="152400" distR="152400" simplePos="0" relativeHeight="251658240" behindDoc="1" locked="0" layoutInCell="1" allowOverlap="1">
              <wp:simplePos x="0" y="0"/>
              <wp:positionH relativeFrom="page">
                <wp:posOffset>0</wp:posOffset>
              </wp:positionH>
              <wp:positionV relativeFrom="page">
                <wp:posOffset>0</wp:posOffset>
              </wp:positionV>
              <wp:extent cx="7556500" cy="10693400"/>
              <wp:effectExtent l="0" t="0" r="0" b="0"/>
              <wp:wrapNone/>
              <wp:docPr id="1073741825" name="officeArt object" descr="Rechteck"/>
              <wp:cNvGraphicFramePr/>
              <a:graphic xmlns:a="http://schemas.openxmlformats.org/drawingml/2006/main">
                <a:graphicData uri="http://schemas.microsoft.com/office/word/2010/wordprocessingShape">
                  <wps:wsp>
                    <wps:cNvSpPr/>
                    <wps:spPr>
                      <a:xfrm>
                        <a:off x="0" y="0"/>
                        <a:ext cx="7556500" cy="10693400"/>
                      </a:xfrm>
                      <a:prstGeom prst="roundRect">
                        <a:avLst>
                          <a:gd name="adj" fmla="val 0"/>
                        </a:avLst>
                      </a:prstGeom>
                      <a:solidFill>
                        <a:srgbClr val="FFFFFF"/>
                      </a:solidFill>
                      <a:ln w="12700" cap="flat">
                        <a:noFill/>
                        <a:miter lim="400000"/>
                      </a:ln>
                      <a:effectLst/>
                    </wps:spPr>
                    <wps:bodyPr/>
                  </wps:wsp>
                </a:graphicData>
              </a:graphic>
            </wp:anchor>
          </w:drawing>
        </mc:Choice>
        <mc:Fallback>
          <w:pict>
            <v:roundrect id="_x0000_s1026" style="visibility:visible;position:absolute;margin-left:0.0pt;margin-top:0.0pt;width:595.0pt;height:842.0pt;z-index:-251658240;mso-position-horizontal:absolute;mso-position-horizontal-relative:page;mso-position-vertical:absolute;mso-position-vertical-relative:page;mso-wrap-distance-left:12.0pt;mso-wrap-distance-top:12.0pt;mso-wrap-distance-right:12.0pt;mso-wrap-distance-bottom:12.0pt;" adj="0">
              <v:fill color="#FFFFFF" opacity="100.0%" type="solid"/>
              <v:stroke on="f" weight="1.0pt" dashstyle="solid" endcap="flat" miterlimit="400.0%" joinstyle="miter" linestyle="single" startarrow="none" startarrowwidth="medium" startarrowlength="medium" endarrow="none" endarrowwidth="medium" endarrowlength="medium"/>
              <w10:wrap type="none" side="bothSides" anchorx="page" anchory="page"/>
            </v:roundrect>
          </w:pict>
        </mc:Fallback>
      </mc:AlternateContent>
    </w:r>
    <w:r/>
  </w:p>
</w:hdr>
</file>

<file path=word/settings.xml><?xml version="1.0" encoding="utf-8"?>
<w:settings xmlns:mc="http://schemas.openxmlformats.org/markup-compatibility/2006" xmlns:o="urn:schemas-microsoft-com:office:office" xmlns:v="urn:schemas-microsoft-com:vml" xmlns:w="http://schemas.openxmlformats.org/wordprocessingml/2006/main">
  <w:view w:val="print"/>
  <w:mirrorMargins w:val="0"/>
  <w:bordersDoNotSurroundHeader w:val="0"/>
  <w:bordersDoNotSurroundFooter w:val="0"/>
  <w:displayBackgroundShape/>
  <w:revisionView w:markup="1" w:comments="1" w:insDel="1" w:formatting="0"/>
  <w:defaultTabStop w:val="720"/>
  <w:autoHyphenation w:val="0"/>
  <w:evenAndOddHeaders w:val="0"/>
  <w:bookFoldPrinting w:val="0"/>
  <w:noLineBreaksAfter w:lang="Deutsch" w:val="‘“(〔[{〈《「『【⦅〘〖«〝︵︷︹︻︽︿﹁﹃﹇﹙﹛﹝｢"/>
  <w:noLineBreaksBefore w:lang="Deutsch" w:val="’”)〕]}〉"/>
  <w:compat>
    <w:compatSetting w:name="compatibilityMode" w:uri="http://schemas.microsoft.com/office/word" w:val="15"/>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w="http://schemas.openxmlformats.org/wordprocessingml/2006/main" xmlns:mc="http://schemas.openxmlformats.org/markup-compatibility/2006" xmlns:w14="http://schemas.microsoft.com/office/word/2010/wordml" mc:Ignorable="w14">
  <w:docDefaults>
    <w:rPrDefault>
      <w:rPr>
        <w:rFonts w:ascii="Times New Roman" w:cs="Times New Roman" w:hAnsi="Times New Roman" w:eastAsia="Arial Unicode MS"/>
        <w:b w:val="0"/>
        <w:bCs w:val="0"/>
        <w:i w:val="0"/>
        <w:iCs w:val="0"/>
        <w:caps w:val="0"/>
        <w:smallCaps w:val="0"/>
        <w:strike w:val="0"/>
        <w:dstrike w:val="0"/>
        <w:outline w:val="0"/>
        <w:emboss w:val="0"/>
        <w:imprint w:val="0"/>
        <w:vanish w:val="0"/>
        <w:color w:val="auto"/>
        <w:spacing w:val="0"/>
        <w:w w:val="100"/>
        <w:kern w:val="0"/>
        <w:position w:val="0"/>
        <w:sz w:val="20"/>
        <w:szCs w:val="20"/>
        <w:u w:val="none" w:color="auto"/>
        <w:bdr w:val="nil"/>
        <w:vertAlign w:val="baseline"/>
        <w:lang/>
      </w:rPr>
    </w:rPrDefault>
    <w:pPrDefault>
      <w:pPr>
        <w:keepNext w:val="0"/>
        <w:keepLines w:val="0"/>
        <w:pageBreakBefore w:val="0"/>
        <w:framePr w:anchorLock="0" w:w="0" w:h="0" w:vSpace="0" w:hSpace="0" w:xAlign="left" w:y="0" w:hRule="exact" w:vAnchor="margin"/>
        <w:widowControl w:val="1"/>
        <w:numPr>
          <w:ilvl w:val="0"/>
          <w:numId w:val="0"/>
        </w:numPr>
        <w:suppressLineNumbers w:val="0"/>
        <w:pBdr>
          <w:top w:val="nil"/>
          <w:left w:val="nil"/>
          <w:bottom w:val="nil"/>
          <w:right w:val="nil"/>
          <w:between w:val="nil"/>
          <w:bar w:val="nil"/>
        </w:pBdr>
        <w:shd w:val="clear" w:color="auto" w:fill="auto"/>
        <w:suppressAutoHyphens w:val="0"/>
        <w:spacing w:before="0" w:beforeAutospacing="0" w:after="0" w:afterAutospacing="0" w:line="240" w:lineRule="auto"/>
        <w:ind w:left="0" w:right="0" w:firstLine="0"/>
        <w:jc w:val="left"/>
        <w:outlineLvl w:val="9"/>
      </w:pPr>
    </w:pPrDefault>
  </w:docDefaults>
  <w:style w:type="paragraph" w:default="1" w:styleId="Normal">
    <w:name w:val="Normal"/>
    <w:next w:val="Normal"/>
    <w:pPr/>
    <w:rPr>
      <w:sz w:val="24"/>
      <w:szCs w:val="24"/>
      <w:lang w:val="en-US" w:eastAsia="en-US" w:bidi="ar-SA"/>
    </w:rPr>
  </w:style>
  <w:style w:type="character" w:default="1" w:styleId="Default Paragraph Font">
    <w:name w:val="Default Paragraph Font"/>
    <w:next w:val="Default Paragraph Font"/>
  </w:style>
  <w:style w:type="character" w:styleId="Hyperlink">
    <w:name w:val="Hyperlink"/>
    <w:rPr>
      <w:u w:val="single"/>
    </w:rPr>
  </w:style>
  <w:style w:type="table" w:default="1" w:styleId="Table Normal">
    <w:name w:val="Table Normal"/>
    <w:next w:val="Table Normal"/>
    <w:pPr/>
    <w:tblPr>
      <w:tblInd w:w="0" w:type="dxa"/>
    </w:tblPr>
    <w:trPr/>
    <w:tcPr/>
    <w:tblStylePr w:type="firstRow"/>
    <w:tblStylePr w:type="lastRow"/>
    <w:tblStylePr w:type="firstCol"/>
    <w:tblStylePr w:type="lastCol"/>
    <w:tblStylePr w:type="band1Vert"/>
    <w:tblStylePr w:type="band2Vert"/>
    <w:tblStylePr w:type="band1Horz"/>
    <w:tblStylePr w:type="band2Horz"/>
    <w:tblStylePr w:type="neCell"/>
    <w:tblStylePr w:type="nwCell"/>
    <w:tblStylePr w:type="seCell"/>
    <w:tblStylePr w:type="swCell"/>
  </w:style>
  <w:style w:type="numbering" w:default="1" w:styleId="No List">
    <w:name w:val="No List"/>
    <w:next w:val="No List"/>
    <w:pPr/>
  </w:style>
  <w:style w:type="paragraph" w:styleId="Kopf- und Fußzeilen">
    <w:name w:val="Kopf- und Fußzeilen"/>
    <w:next w:val="Kopf- und Fußzeilen"/>
    <w:pPr>
      <w:keepNext w:val="0"/>
      <w:keepLines w:val="0"/>
      <w:pageBreakBefore w:val="0"/>
      <w:widowControl w:val="1"/>
      <w:shd w:val="clear" w:color="auto" w:fill="auto"/>
      <w:tabs>
        <w:tab w:val="right" w:pos="9020"/>
      </w:tabs>
      <w:suppressAutoHyphens w:val="0"/>
      <w:bidi w:val="0"/>
      <w:spacing w:before="0" w:after="0" w:line="240" w:lineRule="auto"/>
      <w:ind w:left="0" w:right="0" w:firstLine="0"/>
      <w:jc w:val="left"/>
      <w:outlineLvl w:val="9"/>
    </w:pPr>
    <w:rPr>
      <w:rFonts w:ascii="Times New Roman" w:cs="Arial Unicode MS" w:hAnsi="Times New Roman" w:eastAsia="Arial Unicode MS"/>
      <w:b w:val="0"/>
      <w:bCs w:val="0"/>
      <w:i w:val="0"/>
      <w:iCs w:val="0"/>
      <w:caps w:val="0"/>
      <w:smallCaps w:val="0"/>
      <w:strike w:val="0"/>
      <w:dstrike w:val="0"/>
      <w:outline w:val="0"/>
      <w:color w:val="000000"/>
      <w:spacing w:val="0"/>
      <w:kern w:val="0"/>
      <w:position w:val="0"/>
      <w:sz w:val="26"/>
      <w:szCs w:val="26"/>
      <w:u w:val="none"/>
      <w:shd w:val="nil" w:color="auto" w:fill="auto"/>
      <w:vertAlign w:val="baseline"/>
      <w14:textOutline>
        <w14:noFill/>
      </w14:textOutline>
      <w14:textFill>
        <w14:solidFill>
          <w14:srgbClr w14:val="000000"/>
        </w14:solidFill>
      </w14:textFill>
    </w:rPr>
  </w:style>
  <w:style w:type="paragraph" w:styleId="Text">
    <w:name w:val="Text"/>
    <w:next w:val="Text"/>
    <w:pPr>
      <w:keepNext w:val="0"/>
      <w:keepLines w:val="0"/>
      <w:pageBreakBefore w:val="0"/>
      <w:widowControl w:val="1"/>
      <w:shd w:val="clear" w:color="auto" w:fill="auto"/>
      <w:suppressAutoHyphens w:val="0"/>
      <w:bidi w:val="0"/>
      <w:spacing w:before="0" w:after="0" w:line="276" w:lineRule="auto"/>
      <w:ind w:left="0" w:right="0" w:firstLine="0"/>
      <w:jc w:val="left"/>
      <w:outlineLvl w:val="9"/>
    </w:pPr>
    <w:rPr>
      <w:rFonts w:ascii="Arial" w:cs="Arial Unicode MS" w:hAnsi="Arial" w:eastAsia="Arial Unicode MS"/>
      <w:b w:val="0"/>
      <w:bCs w:val="0"/>
      <w:i w:val="0"/>
      <w:iCs w:val="0"/>
      <w:caps w:val="0"/>
      <w:smallCaps w:val="0"/>
      <w:strike w:val="0"/>
      <w:dstrike w:val="0"/>
      <w:outline w:val="0"/>
      <w:color w:val="000000"/>
      <w:spacing w:val="0"/>
      <w:kern w:val="0"/>
      <w:position w:val="0"/>
      <w:sz w:val="22"/>
      <w:szCs w:val="22"/>
      <w:u w:val="none" w:color="000000"/>
      <w:shd w:val="nil" w:color="auto" w:fill="auto"/>
      <w:vertAlign w:val="baseline"/>
      <w:lang w:val="de-DE"/>
      <w14:textOutline>
        <w14:noFill/>
      </w14:textOutline>
      <w14:textFill>
        <w14:solidFill>
          <w14:srgbClr w14:val="000000"/>
        </w14:solidFill>
      </w14:textFill>
    </w:rPr>
  </w:style>
</w:styles>
</file>

<file path=word/_rels/document.xml.rels><?xml version="1.0" encoding="UTF-8"?>
<Relationships xmlns="http://schemas.openxmlformats.org/package/2006/relationships"><Relationship Id="rId1" Type="http://schemas.openxmlformats.org/officeDocument/2006/relationships/settings" Target="settings.xml"/><Relationship Id="rId2" Type="http://schemas.openxmlformats.org/officeDocument/2006/relationships/fontTable" Target="fontTable.xml"/><Relationship Id="rId3" Type="http://schemas.openxmlformats.org/officeDocument/2006/relationships/styles" Target="styles.xml"/><Relationship Id="rId4" Type="http://schemas.openxmlformats.org/officeDocument/2006/relationships/image" Target="media/image1.png"/><Relationship Id="rId5" Type="http://schemas.openxmlformats.org/officeDocument/2006/relationships/image" Target="media/image1.jpeg"/><Relationship Id="rId6" Type="http://schemas.openxmlformats.org/officeDocument/2006/relationships/image" Target="media/image2.jpeg"/><Relationship Id="rId7" Type="http://schemas.openxmlformats.org/officeDocument/2006/relationships/image" Target="media/image3.jpeg"/><Relationship Id="rId8" Type="http://schemas.openxmlformats.org/officeDocument/2006/relationships/image" Target="media/image4.jpeg"/><Relationship Id="rId9" Type="http://schemas.openxmlformats.org/officeDocument/2006/relationships/image" Target="media/image5.jpeg"/><Relationship Id="rId10" Type="http://schemas.openxmlformats.org/officeDocument/2006/relationships/image" Target="media/image6.jpeg"/><Relationship Id="rId11" Type="http://schemas.openxmlformats.org/officeDocument/2006/relationships/image" Target="media/image7.jpeg"/><Relationship Id="rId12" Type="http://schemas.openxmlformats.org/officeDocument/2006/relationships/image" Target="media/image8.jpeg"/><Relationship Id="rId13" Type="http://schemas.openxmlformats.org/officeDocument/2006/relationships/image" Target="media/image9.jpeg"/><Relationship Id="rId14" Type="http://schemas.openxmlformats.org/officeDocument/2006/relationships/image" Target="media/image10.jpeg"/><Relationship Id="rId15" Type="http://schemas.openxmlformats.org/officeDocument/2006/relationships/image" Target="media/image11.jpeg"/><Relationship Id="rId16" Type="http://schemas.openxmlformats.org/officeDocument/2006/relationships/header" Target="header1.xml"/><Relationship Id="rId17" Type="http://schemas.openxmlformats.org/officeDocument/2006/relationships/footer" Target="footer1.xml"/><Relationship Id="rId18" Type="http://schemas.openxmlformats.org/officeDocument/2006/relationships/theme" Target="theme/theme1.xml"/></Relationships>

</file>

<file path=word/theme/theme1.xml><?xml version="1.0" encoding="utf-8"?>
<a:theme xmlns:a="http://schemas.openxmlformats.org/drawingml/2006/main" xmlns:r="http://schemas.openxmlformats.org/officeDocument/2006/relationships" name="Office Theme">
  <a:themeElements>
    <a:clrScheme name="Office Theme">
      <a:dk1>
        <a:srgbClr val="000000"/>
      </a:dk1>
      <a:lt1>
        <a:srgbClr val="FFFFFF"/>
      </a:lt1>
      <a:dk2>
        <a:srgbClr val="A7A7A7"/>
      </a:dk2>
      <a:lt2>
        <a:srgbClr val="535353"/>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FF00FF"/>
      </a:folHlink>
    </a:clrScheme>
    <a:fontScheme name="Office Theme">
      <a:majorFont>
        <a:latin typeface="Times New Roman"/>
        <a:ea typeface="Times New Roman"/>
        <a:cs typeface="Times New Roman"/>
      </a:majorFont>
      <a:minorFont>
        <a:latin typeface="Times New Roman"/>
        <a:ea typeface="Times New Roman"/>
        <a:cs typeface="Times New Roman"/>
      </a:minorFont>
    </a:fontScheme>
    <a:fmtScheme name="Office Them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29999"/>
              </a:schemeClr>
            </a:gs>
            <a:gs pos="100000">
              <a:schemeClr val="phClr">
                <a:tint val="50000"/>
                <a:shade val="100000"/>
                <a:satMod val="350000"/>
              </a:schemeClr>
            </a:gs>
          </a:gsLst>
          <a:lin ang="16200000" scaled="0"/>
        </a:gradFill>
      </a:fillStyleLst>
      <a:lnStyleLst>
        <a:ln w="9525" cap="flat" cmpd="sng" algn="ctr">
          <a:solidFill>
            <a:schemeClr val="phClr">
              <a:shade val="95000"/>
              <a:satMod val="104999"/>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sx="100000" sy="100000" kx="0" ky="0" algn="b" rotWithShape="0" blurRad="38100" dist="23000" dir="5400000">
              <a:srgbClr val="000000">
                <a:alpha val="35000"/>
              </a:srgbClr>
            </a:outerShdw>
          </a:effectLst>
        </a:effectStyle>
        <a:effectStyle>
          <a:effectLst>
            <a:outerShdw sx="100000" sy="100000" kx="0" ky="0" algn="b" rotWithShape="0" blurRad="38100" dist="23000" dir="5400000">
              <a:srgbClr val="000000">
                <a:alpha val="35000"/>
              </a:srgbClr>
            </a:outerShdw>
          </a:effectLst>
        </a:effectStyle>
        <a:effectStyle>
          <a:effectLst>
            <a:outerShdw sx="100000" sy="100000" kx="0" ky="0" algn="b" rotWithShape="0" blurRad="38100" dist="20000" dir="5400000">
              <a:srgbClr val="000000">
                <a:alpha val="38000"/>
              </a:srgbClr>
            </a:outerShdw>
          </a:effectLst>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solidFill>
          <a:srgbClr val="FFFFFF"/>
        </a:solidFill>
        <a:ln w="25400" cap="flat">
          <a:solidFill>
            <a:schemeClr val="accent1"/>
          </a:solidFill>
          <a:prstDash val="solid"/>
          <a:round/>
        </a:ln>
        <a:effectLst>
          <a:outerShdw sx="100000" sy="100000" kx="0" ky="0" algn="b" rotWithShape="0" blurRad="38100" dist="23000" dir="5400000">
            <a:srgbClr val="000000">
              <a:alpha val="35000"/>
            </a:srgbClr>
          </a:outerShdw>
        </a:effectLst>
        <a:sp3d/>
      </a:spPr>
      <a:bodyPr rot="0" spcFirstLastPara="1" vertOverflow="overflow" horzOverflow="overflow" vert="horz" wrap="square" lIns="45719" tIns="45719" rIns="45719" bIns="45719" numCol="1" spcCol="38100" rtlCol="0" anchor="ctr" upright="0">
        <a:spAutoFit/>
      </a:bodyPr>
      <a:lstStyle>
        <a:defPPr marL="0" marR="0" indent="0" algn="l" defTabSz="914400" rtl="0" fontAlgn="auto" latinLnBrk="0"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latin typeface="Cambria"/>
            <a:ea typeface="Cambria"/>
            <a:cs typeface="Cambria"/>
            <a:sym typeface="Cambria"/>
          </a:defRPr>
        </a:defPPr>
        <a:lvl1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9pPr>
      </a:lstStyle>
      <a:style>
        <a:lnRef idx="0"/>
        <a:fillRef idx="0"/>
        <a:effectRef idx="0"/>
        <a:fontRef idx="none"/>
      </a:style>
    </a:spDef>
    <a:lnDef>
      <a:spPr>
        <a:noFill/>
        <a:ln w="25400" cap="flat">
          <a:solidFill>
            <a:schemeClr val="accent1"/>
          </a:solidFill>
          <a:prstDash val="solid"/>
          <a:round/>
        </a:ln>
        <a:effectLst>
          <a:outerShdw sx="100000" sy="100000" kx="0" ky="0" algn="b" rotWithShape="0" blurRad="38100" dist="20000" dir="5400000">
            <a:srgbClr val="000000">
              <a:alpha val="38000"/>
            </a:srgbClr>
          </a:outerShdw>
        </a:effectLst>
        <a:sp3d/>
      </a:spPr>
      <a:bodyPr rot="0" spcFirstLastPara="1" vertOverflow="overflow" horzOverflow="overflow" vert="horz" wrap="square" lIns="91439" tIns="45719" rIns="91439" bIns="45719" numCol="1" spcCol="38100" rtlCol="0" anchor="t" upright="0">
        <a:noAutofit/>
      </a:bodyPr>
      <a:lstStyle>
        <a:def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defPPr>
        <a:lvl1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9pPr>
      </a:lstStyle>
      <a:style>
        <a:lnRef idx="0"/>
        <a:fillRef idx="0"/>
        <a:effectRef idx="0"/>
        <a:fontRef idx="none"/>
      </a:style>
    </a:lnDef>
    <a:txDef>
      <a:spPr>
        <a:noFill/>
        <a:ln w="12700" cap="flat">
          <a:noFill/>
          <a:miter lim="400000"/>
        </a:ln>
        <a:effectLst/>
        <a:sp3d/>
      </a:spPr>
      <a:bodyPr rot="0" spcFirstLastPara="1" vertOverflow="overflow" horzOverflow="overflow" vert="horz" wrap="square" lIns="45719" tIns="45719" rIns="45719" bIns="45719" numCol="1" spcCol="38100" rtlCol="0" anchor="t" upright="0">
        <a:spAutoFit/>
      </a:bodyPr>
      <a:lstStyle>
        <a:defPPr marL="0" marR="0" indent="0" algn="l" defTabSz="914400" rtl="0" fontAlgn="auto" latinLnBrk="0"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latin typeface="Cambria"/>
            <a:ea typeface="Cambria"/>
            <a:cs typeface="Cambria"/>
            <a:sym typeface="Cambria"/>
          </a:defRPr>
        </a:defPPr>
        <a:lvl1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9pPr>
      </a:lstStyle>
      <a:style>
        <a:lnRef idx="0"/>
        <a:fillRef idx="0"/>
        <a:effectRef idx="0"/>
        <a:fontRef idx="none"/>
      </a:style>
    </a:txDef>
  </a:objectDefaults>
</a:theme>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xsi="http://www.w3.org/2001/XMLSchema-instance"/>
</file>